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0619" w14:textId="77777777" w:rsidR="00756EF5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7A3C007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49A</w:t>
      </w:r>
    </w:p>
    <w:p w14:paraId="100AA94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40DEA3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4DFAB8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3C5436C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Instrumente/Senzori pentru analiza, set</w:t>
      </w:r>
    </w:p>
    <w:tbl>
      <w:tblPr>
        <w:tblStyle w:val="ad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6D591A2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621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2716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67EE" w14:textId="77777777" w:rsidR="0087652C" w:rsidRDefault="001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Specificatii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ale </w:t>
            </w:r>
          </w:p>
          <w:p w14:paraId="2D202DD7" w14:textId="2C2097E1" w:rsidR="00756EF5" w:rsidRDefault="001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produselor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ofertate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697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23BC66FE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E91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1E5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08C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DEC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630D86F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F65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454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220CD74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Set de senzori wireless pentru realizarea de experimente în laboratorul de științe:</w:t>
            </w:r>
          </w:p>
          <w:p w14:paraId="61AB374C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</w:p>
          <w:p w14:paraId="00755886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mișcare</w:t>
            </w:r>
          </w:p>
          <w:p w14:paraId="30D1AE19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d = (0,100 – 3.000 ± 0,001) m</w:t>
            </w:r>
          </w:p>
          <w:p w14:paraId="7710CF5E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v = ± 10 m/s</w:t>
            </w:r>
          </w:p>
          <w:p w14:paraId="5AF05021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a = ± 30 m/s/s</w:t>
            </w:r>
          </w:p>
          <w:p w14:paraId="503EF7B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frecvența de măsurare max. 100 Hz</w:t>
            </w:r>
          </w:p>
          <w:p w14:paraId="1AB17595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</w:p>
          <w:p w14:paraId="24F889A8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presiune a gazelor</w:t>
            </w:r>
          </w:p>
          <w:p w14:paraId="6DC5B22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cel puțin 0 ÷ 400 kPa;</w:t>
            </w:r>
          </w:p>
          <w:p w14:paraId="5451080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precizia: ± 1 kPa;</w:t>
            </w:r>
          </w:p>
          <w:p w14:paraId="43AE618B" w14:textId="77777777" w:rsidR="00756EF5" w:rsidRPr="0087652C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rezoluția: 0,1 kPa;</w:t>
            </w:r>
          </w:p>
          <w:p w14:paraId="13E0D948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frecvența de măsurare nu mai puțin de 100 Hz.</w:t>
            </w:r>
          </w:p>
          <w:p w14:paraId="33FC5315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</w:p>
          <w:p w14:paraId="720C21B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temperatură</w:t>
            </w:r>
          </w:p>
          <w:p w14:paraId="56778369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domeniu de măsurare: -20 până la +120°C, rezoluție 0,1°C, sondă din inox — 100 mm;</w:t>
            </w:r>
          </w:p>
          <w:p w14:paraId="41F94A0E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frecvența de măsurare nu mai puțin de 100 Hz.</w:t>
            </w:r>
          </w:p>
          <w:p w14:paraId="139ADF0B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</w:p>
          <w:p w14:paraId="376B6850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intensitate electrică, tensiune electrică</w:t>
            </w:r>
          </w:p>
          <w:p w14:paraId="2E8D8B3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domeniu de funcționare cel puțin +/- 1 A, respectiv +/- 1 V</w:t>
            </w:r>
          </w:p>
          <w:p w14:paraId="0721D79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acuratețea ± 1%</w:t>
            </w:r>
          </w:p>
          <w:p w14:paraId="38591200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frecvența de măsurare nu mai puțin de 1.000 Hz</w:t>
            </w:r>
          </w:p>
          <w:p w14:paraId="4C1468C9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</w:p>
          <w:p w14:paraId="4604B83E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lumină</w:t>
            </w:r>
          </w:p>
          <w:p w14:paraId="3E1CF87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lastRenderedPageBreak/>
              <w:t>— 0—100.000 lux, rezoluția cel puțin 1,0 lux pentru măsurări până la 6.000 lux, domeniul spectral cel puțin 350 ÷ 1.000 nm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D42E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D894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4810885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E24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B5DD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858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4B67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33DF31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FD85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AC9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12A5C518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F1F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E08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496E350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33C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C1B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4FAD8BD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0667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74B5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7060C87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D96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78F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9F09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24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4BF65C6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544EFF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0B6577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E46DC7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F85298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29648E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A77963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8CB979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582AE2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160008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B005C1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7DA72B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26EC5F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EAC9FF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F82AD4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33DC2F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36CB56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C78E59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50BFD1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7FA0AA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E78006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CB3ADA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418E74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A6CACD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630649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990BC1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08BBAA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B83A64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48DD771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408EDCFF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43C0FF66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lastRenderedPageBreak/>
        <w:t>FIȘA TEHNICĂ NR. 50A</w:t>
      </w:r>
    </w:p>
    <w:p w14:paraId="5E12C0F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080FC6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F5FB1E4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Interfață pentru conectare senzori</w:t>
      </w:r>
    </w:p>
    <w:tbl>
      <w:tblPr>
        <w:tblStyle w:val="ae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22017F4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53B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7B4C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162F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E16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58E62DE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32C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361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E25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A59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358EAB73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E80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45D6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1197EECC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Interfață pentru conectarea a pana la 2 senzori, cu grad de protecție împotriva intemperiilor.</w:t>
            </w:r>
          </w:p>
          <w:p w14:paraId="0CB0C99A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specificații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wireless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USB. </w:t>
            </w: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Soft propriu pentru interfațare cu PC cu sistem de operare instalat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C2FA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ED34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347929F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202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A660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96C7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2B55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5432AEC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59D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A18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6F5DD85B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1CFB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C830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757630E9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043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E92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68DC67D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C285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6359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7A45AA2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43E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702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6394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15A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5D9D4A0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62E8AE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293598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9DF082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C47C3B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82C024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B5FF32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AFFC9B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1EAC50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694887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B42F8B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34B8D7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48009E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F0857F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E23FE1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5D7A440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4CC51AAB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409CEFC8" w14:textId="77777777" w:rsidR="00756EF5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FIȘA TEHNICĂ NR. 51A</w:t>
      </w:r>
    </w:p>
    <w:p w14:paraId="5FA7A771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CF8772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8C01BF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F2BD45A" w14:textId="77777777" w:rsidR="00756EF5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tehnologic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Kit start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Micro:bit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KS4008-ai960</w:t>
      </w:r>
    </w:p>
    <w:tbl>
      <w:tblPr>
        <w:tblStyle w:val="af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6DB35809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63F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3B26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E5A9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81D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56638579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500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C31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FDF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671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14:paraId="6F6FF559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46C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0A21" w14:textId="77777777" w:rsidR="00756EF5" w:rsidRPr="0087652C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87652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731A5DCA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 xml:space="preserve">Kit potrivit pentru începători, pentru a învăța sistemul Micro:bit.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kit-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include module,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LED-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rezistori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folosesc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multe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B5D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C7BA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1EACEE4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3BD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645E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40C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7826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2A1FC7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9EB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E6A8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264FACB3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178F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9C3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56BFB21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191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A7B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022F8A26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7A8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FCD0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2B49FFF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35C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F9F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8CE8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1DF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50EC718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9CD267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E4A2AF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E5FA10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5B2165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C0EC37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D6CB1B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DEAE0B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6BBDCD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0150B6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262AD8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EA808B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F62DA7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E64422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74B99A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A53802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06921A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C3BEAD0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21AC18C9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52A</w:t>
      </w:r>
    </w:p>
    <w:p w14:paraId="623FAE2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0093E4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DA5F18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2304899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Kit pentru dezvoltatori Micro:bit</w:t>
      </w:r>
    </w:p>
    <w:tbl>
      <w:tblPr>
        <w:tblStyle w:val="af0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28C12DEF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ED0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D80B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082B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424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75638D59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F8E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750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5F1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00B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025AC76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8ED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6DC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34426B2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Pachetul este alcătuit dintr-o placă de conectare principală care găzduiește conectorul pentru placa micro-bit și mai multe alte module. Începând de la senzori de lumină și sunet la LED-uri, difuzoare și chiar ventilatoare.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133B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AAA2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1C51A95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210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A6A7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FE4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D62E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2D58D6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F1A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AB1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73D3957F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1FAD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FC8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1E6294A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4B4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C85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65390D71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A5B4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DBAF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327E126E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A5F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383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925C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C157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2995C80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228562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07D7E7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96A725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3B0D01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12BD87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A1B824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C62AB9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05DEE7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E91211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0AE75F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FF0AFC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F94CC8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A76F8FD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13AC040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35EE35E3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0E9608C1" w14:textId="77777777" w:rsidR="00756EF5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FIȘA TEHNICĂ NR. 53A</w:t>
      </w:r>
    </w:p>
    <w:p w14:paraId="2CDA8BF0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373606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207B16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1F0550" w14:textId="77777777" w:rsidR="00756EF5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tehnologic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Senzor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intensitate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electrică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tensiune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electrică</w:t>
      </w:r>
      <w:proofErr w:type="spellEnd"/>
    </w:p>
    <w:tbl>
      <w:tblPr>
        <w:tblStyle w:val="af1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04AE316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8D8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481D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52BC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B3B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3CE8085D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AD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74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E15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9C2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432F0C2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B83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246C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Parametrii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funcţionali</w:t>
            </w:r>
            <w:proofErr w:type="spellEnd"/>
          </w:p>
          <w:p w14:paraId="6D87022C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tensiune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curent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combinat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singur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dispozitiv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 xml:space="preserve">Poate fi utilizat pentru a măsura atât curentul electric, cât și diferența de potențial între o componentă în circuitele de joasă tensiune. </w:t>
            </w: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Senzorul de tensiune măsoară diferența de potențial dintre două puncte dintr-un circuit într-un interval cuprins între -20 V și +20 V.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4200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E91F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278779B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F48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C5BD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CB96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10F0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DFC60D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3F1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FDC6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5AE55E48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E9B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F69A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2C3DAA47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EB5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ADF8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38BEC781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737D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2ACD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30CBA48E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3B4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430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1F6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DE01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0F74AD6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A2D561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84D362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523690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A81433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BFBFFE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D95FF5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E726B9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695C99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B642C0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CF9F7E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CA79628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24385C71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54A</w:t>
      </w:r>
    </w:p>
    <w:p w14:paraId="213F21B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DFD019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E3383E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9573025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Senzor de lumină</w:t>
      </w:r>
    </w:p>
    <w:tbl>
      <w:tblPr>
        <w:tblStyle w:val="af2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4F82C0C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DA6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740A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4AF8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FF4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368BA60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842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B66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F01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F48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75E17FC4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E22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595D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1036404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Senzorul de lumină este utilizat la detectarea şi măsurarea luminii. Măsurătorile redau sensibilitatea ochiului uman la lumină, în special în porțiunea verde a spectrului.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57BC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7168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0A7A124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6C0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2820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0B3A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5B00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57809D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15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2E6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123C6642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A0BC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0CF6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6194E4DB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5A1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0E2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74F2DA49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26D8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FDE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48E2C4A9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802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FC6E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04D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8A9F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3E9F6B8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4EBDAC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733DC0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B8BED8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225163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3D2D7B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AAB1C4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16835F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5EA454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7708FC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447CC9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180586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3CD47C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5488D7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B68E49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215D863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B1B008B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15F09F47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55A</w:t>
      </w:r>
    </w:p>
    <w:p w14:paraId="4B1B24E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B63C85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E0ADA8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16E23D1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lastRenderedPageBreak/>
        <w:t>Echipamentul tehnologic: Senzor de mișcare</w:t>
      </w:r>
    </w:p>
    <w:tbl>
      <w:tblPr>
        <w:tblStyle w:val="af3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57CC1363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DA5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595C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F902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B2B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6E53F92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8EF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5C1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9C1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3855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14:paraId="262FD15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688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5239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Parametrii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funcţionali</w:t>
            </w:r>
            <w:proofErr w:type="spellEnd"/>
          </w:p>
          <w:p w14:paraId="3C6B1140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Echipament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folosit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la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identificarea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mișcării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unui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corp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măsurării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vitezei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și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accelerației</w:t>
            </w:r>
            <w:proofErr w:type="spellEnd"/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exersat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succes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9519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C502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27F0216E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DAF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E4FC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491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3A37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6D47AC74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3D7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1901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1D3D05FF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B7D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9EE6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200C3BA7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C23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B822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0293FB0C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B73B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0AEF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3E25E61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36C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6A9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7406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F63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4EF7C93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2EFB8F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197E87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BBD3BE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5AFC24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2BC912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4718848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2A09A9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657562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4F90814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5BBCD8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40C91E0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E92700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2E082D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A07C12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68AC41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491CA5F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180D8FCE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56A</w:t>
      </w:r>
    </w:p>
    <w:p w14:paraId="5B529DE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B7FF55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6F2F4D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1A718AB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Senzor de presiune a gazelor</w:t>
      </w:r>
    </w:p>
    <w:tbl>
      <w:tblPr>
        <w:tblStyle w:val="af4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408ED9A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460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D975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1F97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C5A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602E9EDF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C00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359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F82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FEF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14:paraId="3E39705E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AEB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B82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634A2680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 xml:space="preserve">Echipament care măsoară presiunea absolută a sistemului la care este racordat.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măsurare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-1000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~ +3000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EC25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13A5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1B272C2B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8E4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1D1A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555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13B0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1562461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306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F35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2B276033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5274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026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02C2B3B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B33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67C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5B5ACBE7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46D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8658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11E1CFA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38F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F16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667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ACB1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1EE72F5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6105DB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CE752E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16333B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5C3D33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48BAA4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D0EF99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28B0E3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BAD62D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5B6C76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00C6B8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784C01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AC98A0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0C1BA4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313764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CAC744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EF4B6E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D18E1B5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2E979BEB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57A</w:t>
      </w:r>
    </w:p>
    <w:p w14:paraId="094564E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63DE12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EF3046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BFC096D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Senzor de temperatură</w:t>
      </w:r>
    </w:p>
    <w:tbl>
      <w:tblPr>
        <w:tblStyle w:val="af5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35C2CD8A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950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261A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lastRenderedPageBreak/>
              <w:t xml:space="preserve">Specificaţii tehnice impuse prin </w:t>
            </w: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lastRenderedPageBreak/>
              <w:t>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9753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lastRenderedPageBreak/>
              <w:t xml:space="preserve">Corespondenţa propunerii tehnice </w:t>
            </w: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lastRenderedPageBreak/>
              <w:t>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9D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Furnizor</w:t>
            </w:r>
            <w:proofErr w:type="spellEnd"/>
          </w:p>
        </w:tc>
      </w:tr>
      <w:tr w:rsidR="00756EF5" w14:paraId="55CFCF17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013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C1B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630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B91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1976171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803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B107" w14:textId="77777777" w:rsidR="00756EF5" w:rsidRPr="0087652C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87652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1CD01F9A" w14:textId="77777777" w:rsidR="00756EF5" w:rsidRPr="0087652C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8765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Echipament folosit la măsurarea temperaturii. Poate fi exersat cu succes în cadrul următoarelor experimente curriculare: Extrapolează zero absolut;  Studiul legilor gazului ideal (Charles și Boyle).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2A6A" w14:textId="77777777" w:rsidR="00756EF5" w:rsidRPr="0087652C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0BAF" w14:textId="77777777" w:rsidR="00756EF5" w:rsidRPr="0087652C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1C01245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762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E953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D43F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261D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23BEB7DB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9A8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427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1D36171D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6537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B2DD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7DB2CD1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11D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4C2A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42A8AAEB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D408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2ED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3DACE93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FDE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B8EA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E5D7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341D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2D7AE08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E04922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068C13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DC8E79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F68934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9E79A9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521328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59BF89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B9CEF1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E8CC8E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A0327D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61B731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61AFDF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48EBB70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2B97A1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08D0231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6C9A0317" w14:textId="77777777" w:rsidR="00756EF5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FIȘA TEHNICĂ NR. 58A</w:t>
      </w:r>
    </w:p>
    <w:p w14:paraId="6B757BC5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51A1C7F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C3E537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73D47D8" w14:textId="77777777" w:rsidR="00756EF5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tehnologic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Varianta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A: Kit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senzori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+ Arduino UNO</w:t>
      </w:r>
    </w:p>
    <w:tbl>
      <w:tblPr>
        <w:tblStyle w:val="af6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1620119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13A5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632D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A510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 xml:space="preserve">Corespondenţa propunerii tehnice cu specificaţiile tehnice impuse </w:t>
            </w: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lastRenderedPageBreak/>
              <w:t>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506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Furnizor</w:t>
            </w:r>
            <w:proofErr w:type="spellEnd"/>
          </w:p>
        </w:tc>
      </w:tr>
      <w:tr w:rsidR="00756EF5" w14:paraId="0815D453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4C9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C69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A69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9B8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14:paraId="3CAC844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1EA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2CAE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Parametrii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funcţionali</w:t>
            </w:r>
            <w:proofErr w:type="spellEnd"/>
          </w:p>
          <w:p w14:paraId="2709E468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Pachet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Modul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KY-006; Modul LED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KY-011;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lovire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KY-031;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comutator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vibratie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KY-002;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fotoreresistent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KY-018;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comutator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cheie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KY-004;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comutator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inclinare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KY-020; Modul SMD cu LED color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KY-009;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infrarosu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KY-005; Modul LED cu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KY-016; Modul optic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mercur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KY-017; Modul cu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LED 3MM KY-029; Modul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KY-013; Modul LED automat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colorat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intermitent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KY-034; Mini module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magnetice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KY-021;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magnetic REED KY-003; Modul receptor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infrarosu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magnetic KY-035;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lumina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magica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KY-027;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codificator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rotativ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KY-040; Modul optic  KY-010;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detectie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Reed KY-025;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evitare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obstacolelor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KY-032; Modul Hunt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KY-033;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microfon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KY-038;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laser KY-008;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releu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canal 5V KY-019;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KY-001;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Hall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magnetice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flacara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KY-026;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microfon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sensibil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KY-037;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umiditate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KY-015; Modul joystick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XY KY-023;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metalic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KY-036.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Cablu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Arduino 30 cm. 1 x Breadboard.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316A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7BDC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9F1860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A46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0DD6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D0F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6D52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49857D4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BC7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F9FD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03A64EEF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C938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2B2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76BB5CF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38E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B26E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294F039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C68C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D641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32F3C43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87E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A62A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9AE3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B33C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4CBA328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E31AE7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2FE553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217AD8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168841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19FFF6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2151FB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F6E1E3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E89C95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6FD9D9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A93904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A12FF9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5E4DB4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7BC802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58CC70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4BB811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8539E94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AF76417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FC79567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6BB8275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288AE06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0890F20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515E451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53E4B8EA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0896C4E9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1B0CDCFD" w14:textId="77777777" w:rsidR="00756EF5" w:rsidRPr="001F6C7D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59A</w:t>
      </w:r>
    </w:p>
    <w:p w14:paraId="57868E2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009645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35BFB9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AD04F82" w14:textId="77777777" w:rsidR="00756EF5" w:rsidRPr="001F6C7D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1F6C7D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Varianta B: Kit senzori+ Arduino Nano</w:t>
      </w:r>
    </w:p>
    <w:tbl>
      <w:tblPr>
        <w:tblStyle w:val="af7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553726BF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252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93AB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ECCD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3A9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1874457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507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DDD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2BF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78A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14:paraId="180AD93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A35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2FA6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Parametrii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funcţionali</w:t>
            </w:r>
            <w:proofErr w:type="spellEnd"/>
          </w:p>
          <w:p w14:paraId="0A93D47E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conține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componente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Modul Joystick;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receptor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infraroșu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laser;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umiditate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infraroșu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releu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5 V;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evitare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obstacolelor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bătăi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inimă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tactil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metalic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flacără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LED cu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Magnetic Hall;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encoder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rotativ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buzzer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lumină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Magic cup;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sonerie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digital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intrerupere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luminta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LED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două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Mercur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Medalion;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magnetic; Modul LED cu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Mini Reed;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înclinare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Modul cu 7 LED-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luminează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intermitent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Buton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comutare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rezistență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fotosensibil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vibrații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lovituri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temperature;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magnetici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analogici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microfon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Modul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Reed; Modul LED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dublu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color.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8970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7936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6A82F907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1F10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A917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AFFE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9EE9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3613889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7E1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7466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37632A32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A264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DB8E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150381F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DC1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8916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735CF611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EBB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1AA7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5D3E3F22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A50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23BD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B87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8168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3808D8B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66EA465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DA58E3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34D671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B789D0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D2D981E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931B11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2643C77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A706B0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5C70EE2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092F368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090A78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878FD6F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49F2EB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09CF0BF4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670A4656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10394203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FA62EB9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255B73E8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407A5922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0BA3CA1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3B4A6B4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46C4CC3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9C9BAF7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4B1685BF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A15DF82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42C4003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0A09F5C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D0E7866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7F2D8AB6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112F6806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2B6640D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A293791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6A457E47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070A6A60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359F8CAA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44E41A8B" w14:textId="77777777" w:rsidR="00756EF5" w:rsidRPr="001F6C7D" w:rsidRDefault="00756EF5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</w:p>
    <w:p w14:paraId="7DDB1697" w14:textId="77777777" w:rsidR="00756EF5" w:rsidRPr="0087652C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87652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FIȘA TEHNICĂ NR. 60A</w:t>
      </w:r>
    </w:p>
    <w:p w14:paraId="58FEA5BA" w14:textId="77777777" w:rsidR="00756EF5" w:rsidRPr="0087652C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C28A89D" w14:textId="77777777" w:rsidR="00756EF5" w:rsidRPr="0087652C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ED952EB" w14:textId="77777777" w:rsidR="00756EF5" w:rsidRPr="0087652C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24EF0F0" w14:textId="77777777" w:rsidR="00756EF5" w:rsidRPr="0087652C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87652C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Echipamentul tehnologic: Varianta C: Kit senzori BBC micro:bit și Placă de dezvoltare BBC micro:bit GO</w:t>
      </w:r>
    </w:p>
    <w:tbl>
      <w:tblPr>
        <w:tblStyle w:val="af8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5BD1806F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12D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5C82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D839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 xml:space="preserve">Corespondenţa propunerii tehnice cu specificaţiile tehnice impuse </w:t>
            </w: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lastRenderedPageBreak/>
              <w:t>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B2E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Furnizor</w:t>
            </w:r>
            <w:proofErr w:type="spellEnd"/>
          </w:p>
        </w:tc>
      </w:tr>
      <w:tr w:rsidR="00756EF5" w14:paraId="7F82FC30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179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B99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EFD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A2A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:rsidRPr="0087652C" w14:paraId="5A916533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A76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54C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Parametrii tehnici şi funcţionali</w:t>
            </w:r>
          </w:p>
          <w:p w14:paraId="55756CDA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Placă de dezvoltare BBC micro:bit GO</w:t>
            </w:r>
          </w:p>
          <w:p w14:paraId="14DDD75E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Placă de dezvoltare BBC MICRO:BIT GO MB158 cu microcontroller cu arhitectură ARM M0, pe 32 de biți, echipat cu bluetooth, matrice de LED-uri 5 x 5, magnetometru, accelerometru și alte periferice utile pentru a începe învățarea în acest domeniu. IDE-ul oferit de producător este unul prietenos, fiind foarte ușor de programat de către copii.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E168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055D" w14:textId="77777777" w:rsidR="00756EF5" w:rsidRPr="001F6C7D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14:paraId="30E169C5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3A0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36D7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C75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803D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4E55AC8B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7A9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CC6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54881ADA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071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0A43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1EFF14CE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223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84E3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757D9C34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6961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9D0E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1D22005B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D9D5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A6A9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528D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A4B1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3C7465AC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586D3D51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1D6315A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41303D3C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2AA043B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7F7138A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</w:p>
    <w:p w14:paraId="35983EC2" w14:textId="77777777" w:rsidR="00756EF5" w:rsidRPr="001F6C7D" w:rsidRDefault="00756EF5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</w:pPr>
    </w:p>
    <w:p w14:paraId="2CAC6056" w14:textId="77777777" w:rsidR="00756EF5" w:rsidRDefault="002A7E2E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FIȘA TEHNICĂ NR. 61A</w:t>
      </w:r>
    </w:p>
    <w:p w14:paraId="6BF87E22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0BD5B7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C128E97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EF53123" w14:textId="77777777" w:rsidR="00756EF5" w:rsidRDefault="002A7E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tehnologic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Varianta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D: Kit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senzori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+ Raspberry Pi</w:t>
      </w:r>
    </w:p>
    <w:tbl>
      <w:tblPr>
        <w:tblStyle w:val="af9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705"/>
        <w:gridCol w:w="3540"/>
        <w:gridCol w:w="1515"/>
      </w:tblGrid>
      <w:tr w:rsidR="00756EF5" w14:paraId="6E724C48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F65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2D4A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 impuse prin Caietul de sarcini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46E1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Corespondenţa propunerii tehnice cu specificaţiile tehnice impuse prin Caietul de sarcini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D4C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Furnizor</w:t>
            </w:r>
            <w:proofErr w:type="spellEnd"/>
          </w:p>
        </w:tc>
      </w:tr>
      <w:tr w:rsidR="00756EF5" w14:paraId="5A2245F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4C82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F5D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E291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D93A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756EF5" w14:paraId="106F108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C0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C1A6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Parametrii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funcţionali</w:t>
            </w:r>
            <w:proofErr w:type="spellEnd"/>
          </w:p>
          <w:p w14:paraId="77ADBD11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Super Starter Kit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Raspberry Pi, Model.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Specificatii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1pcs GPIO Extension Board with Cables 1pcs LCD1602 Module (with Pin Header) 1pcs 8*8 Dot Matrix 1pcs Stepper Motor 1pcs ULN2003 Stepper Motor Driver Board 1pcs Servo Motor (SG90) 1pcs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Membrance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Switch Module 1pcs 9V Battery Connector with DC 1pcs 3V Servo Motor(Soldered Wire) 1pcs Fan Blade 1pcs Joystick Module 1pcs GY-521 Module 1pcs Power Supply Module 1pcs HC-SR501 PIR Motion Sensor 1pcs Remote 1pcs 5V Relay 1pcs IR Receiver Module 1pcs DHT11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umiditate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1pcs 830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Cravată-puncte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Breadboard 1pcs 65 Jumper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sârmă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20pcs Dupont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sârmă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1pcs 1 Digit 7-segment Display 1pcs 4 Digit 7-segment Display 1pcs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ultrasunete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Rezistor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(220R) 10pcs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Rezistor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(1K) 10pcs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Rezistor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(10K) 5pcs Alb LED-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5pcs Galben LED-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5pcs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Albastru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5pcs Red LED 1pcs RGB LED 1pcs Thermistor 2pcs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Fotoresistor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Potentiometru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(10k) 1pcs Active Buzzer 1pcs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Buzzer 2pcs Diode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Redresor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(1N4007) 2pcs NPN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Tranzistor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(PN2222) 1pcs IC L293D 1pcs IC 74HC595 1pcs Thermistor 1pcs Tilt Switch 5pcs Button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251E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D81F" w14:textId="77777777" w:rsidR="00756EF5" w:rsidRDefault="00756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0BE6181A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E66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BAF8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Specificaţii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siguranţa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exploatare</w:t>
            </w:r>
            <w:proofErr w:type="spellEnd"/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67A0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536B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14:paraId="204BF8D4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43F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F5C9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privind conformitatea cu standardele relevante</w:t>
            </w:r>
          </w:p>
          <w:p w14:paraId="4B7FC316" w14:textId="77777777" w:rsidR="00756EF5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CE;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FD21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C888" w14:textId="77777777" w:rsidR="00756EF5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56EF5" w:rsidRPr="0087652C" w14:paraId="7F58D8DC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946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7CB9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Condiţii de garanţie</w:t>
            </w:r>
          </w:p>
          <w:p w14:paraId="263F881F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Minim 2 ani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C89A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B6C0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  <w:tr w:rsidR="00756EF5" w:rsidRPr="0087652C" w14:paraId="1CB4A751" w14:textId="77777777">
        <w:trPr>
          <w:jc w:val="center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6C8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5395" w14:textId="77777777" w:rsidR="00756EF5" w:rsidRPr="001F6C7D" w:rsidRDefault="002A7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Alte condiţii cu caracter tehnic - suplimentare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3B1F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CC62" w14:textId="77777777" w:rsidR="00756EF5" w:rsidRPr="001F6C7D" w:rsidRDefault="00756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59838E7D" w14:textId="77777777" w:rsidR="00756EF5" w:rsidRPr="001F6C7D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sectPr w:rsidR="00756EF5" w:rsidRPr="001F6C7D">
          <w:headerReference w:type="default" r:id="rId7"/>
          <w:pgSz w:w="12240" w:h="15840"/>
          <w:pgMar w:top="1440" w:right="1440" w:bottom="1440" w:left="1440" w:header="144" w:footer="0" w:gutter="0"/>
          <w:pgNumType w:start="1"/>
          <w:cols w:space="720"/>
        </w:sectPr>
      </w:pPr>
    </w:p>
    <w:p w14:paraId="26FE36DD" w14:textId="77777777" w:rsidR="00756EF5" w:rsidRDefault="002A7E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Denumire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LOT 3 SENZORI DIGITALI PENTRU CABINETE, ATELIERE ȘI LABORATOARE</w:t>
      </w:r>
    </w:p>
    <w:p w14:paraId="018B93E1" w14:textId="77777777" w:rsidR="00756EF5" w:rsidRDefault="002A7E2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Valoare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LOT 3: 110,970 lei,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fără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TVA</w:t>
      </w:r>
    </w:p>
    <w:tbl>
      <w:tblPr>
        <w:tblStyle w:val="afa"/>
        <w:tblW w:w="134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140"/>
        <w:gridCol w:w="1215"/>
        <w:gridCol w:w="1410"/>
        <w:gridCol w:w="1650"/>
        <w:gridCol w:w="1665"/>
        <w:gridCol w:w="1710"/>
        <w:gridCol w:w="1575"/>
      </w:tblGrid>
      <w:tr w:rsidR="00756EF5" w:rsidRPr="0087652C" w14:paraId="576E83AB" w14:textId="77777777">
        <w:trPr>
          <w:jc w:val="center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2B4DF2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Denumire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Produs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E2A34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Cantitate</w:t>
            </w:r>
            <w:proofErr w:type="spellEnd"/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49ECF9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Unitate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măsură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B8F4DF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Loc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livrare</w:t>
            </w:r>
            <w:proofErr w:type="spellEnd"/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3AEE2B5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Data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livrare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solicitată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1]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73C1BC3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tehnice/ cerințe de performanță/ funcționale minime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801D1CB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Specificaţii tehnice/ cerințe de performanță/ funcționale extinse/dorite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8DA3D4D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pt-BR"/>
              </w:rPr>
              <w:t>Durata minima garanție/ termen de valabilitate</w:t>
            </w:r>
          </w:p>
        </w:tc>
      </w:tr>
      <w:tr w:rsidR="00756EF5" w14:paraId="68579C88" w14:textId="77777777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5BE2903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38358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66A42ED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14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96517E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</w:t>
            </w: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2C12EFC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</w:t>
            </w: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83435B7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FD81DB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7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96B66E8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8</w:t>
            </w:r>
          </w:p>
        </w:tc>
      </w:tr>
      <w:tr w:rsidR="00756EF5" w:rsidRPr="0087652C" w14:paraId="64A2D32D" w14:textId="77777777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41D0DD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[AC/EC introduce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produsului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]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A88AF4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[AC/EC introduce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solicitată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]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1E7A609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[AC/EC introduce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masura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]</w:t>
            </w:r>
          </w:p>
        </w:tc>
        <w:tc>
          <w:tcPr>
            <w:tcW w:w="14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ED95042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i/>
                <w:highlight w:val="white"/>
                <w:lang w:val="pt-BR"/>
              </w:rPr>
              <w:t>[AC/EC introduce locul de livrare]</w:t>
            </w: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E8B52A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i/>
                <w:highlight w:val="white"/>
                <w:lang w:val="pt-BR"/>
              </w:rPr>
              <w:t>[AC/EC introduce data de livrare]</w:t>
            </w: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77AFE26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[AC/EC introduce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specificaţiile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cerințele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funcționale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minime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]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474D53F" w14:textId="77777777" w:rsidR="00756EF5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[AC/EC introduce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specificaţiile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cerințele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funcționale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extinse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dorite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]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1257269" w14:textId="77777777" w:rsidR="00756EF5" w:rsidRPr="001F6C7D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i/>
                <w:highlight w:val="white"/>
                <w:lang w:val="pt-BR"/>
              </w:rPr>
              <w:t>[AC/EC introduce informații referitoare la perioada minimă de garanție]</w:t>
            </w:r>
          </w:p>
        </w:tc>
      </w:tr>
      <w:tr w:rsidR="002A7E2E" w14:paraId="7E768E62" w14:textId="77777777" w:rsidTr="001A1C22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8C458E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Instrumente/Senzori pentru analiza, set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1553B1F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DC9C24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Seturi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02E98C7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A7C2B8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CE5B7B4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49A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3C558B3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49A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4E8B50D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7F642161" w14:textId="77777777" w:rsidTr="001A1C22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5413D9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Interfață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senzori</w:t>
            </w:r>
            <w:proofErr w:type="spellEnd"/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2E38FCF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F10D183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Buc.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3427C36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8A3F390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4C3D43E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50A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7B2552C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50A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F7A3C32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01323974" w14:textId="77777777" w:rsidTr="001A1C22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F61709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Kit start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programare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Micro:bit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KS4008-ai960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828149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4A9A06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Seturi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A7B127E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E813069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2AEE4F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51A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3050F1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51A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4209648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5CE29B93" w14:textId="77777777" w:rsidTr="001A1C22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ED2BCD3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Kit pentru dezvoltatori Micro:bit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5A2F8DD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323897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Seturi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9B1A78A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7512D3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960239C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52A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42F45D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52A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BA53B5A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336649CF" w14:textId="77777777" w:rsidTr="001A1C22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C7732DC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intensitate electrică, tensiune electrică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3E727AC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E9ADCD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Buc.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0BD73C8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0F7F1E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08C9C56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53A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D56469C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53A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1DFD7CA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142BD23E" w14:textId="77777777" w:rsidTr="001A1C22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62A538D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lumină</w:t>
            </w:r>
            <w:proofErr w:type="spellEnd"/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0D441C1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9EB7AED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Buc.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9D7D2ED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7C3BF9D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B9ACAFE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54A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C6A4DC3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54A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36035C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6A0567AD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02D44A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mișcare</w:t>
            </w:r>
            <w:proofErr w:type="spellEnd"/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3AE9F7F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2977DF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Buc.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AE86A59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144A4FC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17A2A6B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55A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6BA20AA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55A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D83F2C6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05B45CAE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C673834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Senzor de presiune a gazelor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EE4135B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EC77CA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Buc.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604D58C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2814A60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0F4202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56A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564073E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56A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76980F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603C93B6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35441E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temperatură</w:t>
            </w:r>
            <w:proofErr w:type="spellEnd"/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270E15C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F8240F1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Buc.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3023214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647C930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AFDF87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57A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C31459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57A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94752B4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2FD391FB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EFBA288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Varianta A: Kit senzori+ Arduino UNO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6970715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AF79C0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Seturi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8289102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74FA781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5D9FF63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58A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7277F03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58A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1406E48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13367752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2940B25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Varianta B: Kit senzori+ Arduino Nano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47C76C9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E5EFE3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Seturi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1309C66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0ECD317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6AF1A0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59A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9C4398E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59A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7E0B96D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466A4EBD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8C4DC5" w14:textId="77777777" w:rsidR="002A7E2E" w:rsidRPr="001F6C7D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</w:pPr>
            <w:r w:rsidRPr="001F6C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t-BR"/>
              </w:rPr>
              <w:t>Varianta C: Kit senzori BBC micro:bit și Placă de dezvoltare BBC micro:bit GO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0905542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C23A4E2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E795F1E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1430D31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45DDE0D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60A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01C7CFA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60A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F35E02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  <w:tr w:rsidR="002A7E2E" w14:paraId="338679B9" w14:textId="77777777" w:rsidTr="00FC3E99">
        <w:trPr>
          <w:jc w:val="center"/>
        </w:trPr>
        <w:tc>
          <w:tcPr>
            <w:tcW w:w="30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75B8498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Varianta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D: Kit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 Raspberry Pi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CFAB68E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93A1877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Seturi</w:t>
            </w:r>
            <w:proofErr w:type="spellEnd"/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4C94D86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9AFBB51" w14:textId="77777777" w:rsidR="002A7E2E" w:rsidRPr="00536C78" w:rsidRDefault="002A7E2E" w:rsidP="0046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90 de </w:t>
            </w:r>
            <w:proofErr w:type="spellStart"/>
            <w:r w:rsidRPr="009112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zile</w:t>
            </w:r>
            <w:proofErr w:type="spellEnd"/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5B1B74B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61A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DD179CE" w14:textId="77777777" w:rsidR="002A7E2E" w:rsidRDefault="002A7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nr. 61A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83AD190" w14:textId="77777777" w:rsidR="002A7E2E" w:rsidRDefault="002A7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Minim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 ani)</w:t>
            </w:r>
          </w:p>
        </w:tc>
      </w:tr>
    </w:tbl>
    <w:p w14:paraId="48F88413" w14:textId="77777777" w:rsidR="00756EF5" w:rsidRDefault="00756E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756EF5">
      <w:pgSz w:w="15840" w:h="12240" w:orient="landscape"/>
      <w:pgMar w:top="1440" w:right="1440" w:bottom="1440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5ECF" w14:textId="77777777" w:rsidR="001319CA" w:rsidRDefault="001319CA">
      <w:pPr>
        <w:spacing w:line="240" w:lineRule="auto"/>
      </w:pPr>
      <w:r>
        <w:separator/>
      </w:r>
    </w:p>
  </w:endnote>
  <w:endnote w:type="continuationSeparator" w:id="0">
    <w:p w14:paraId="13759042" w14:textId="77777777" w:rsidR="001319CA" w:rsidRDefault="00131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E065" w14:textId="77777777" w:rsidR="001319CA" w:rsidRDefault="001319CA">
      <w:pPr>
        <w:spacing w:line="240" w:lineRule="auto"/>
      </w:pPr>
      <w:r>
        <w:separator/>
      </w:r>
    </w:p>
  </w:footnote>
  <w:footnote w:type="continuationSeparator" w:id="0">
    <w:p w14:paraId="6E651D5B" w14:textId="77777777" w:rsidR="001319CA" w:rsidRDefault="00131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16B0" w14:textId="77777777" w:rsidR="00756EF5" w:rsidRDefault="002A7E2E">
    <w:pPr>
      <w:tabs>
        <w:tab w:val="center" w:pos="4320"/>
        <w:tab w:val="right" w:pos="8640"/>
      </w:tabs>
      <w:ind w:hanging="70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Calibri"/>
        <w:b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114300" distB="114300" distL="114300" distR="114300" wp14:anchorId="01867D47" wp14:editId="1F80C451">
          <wp:extent cx="1538288" cy="430059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288" cy="430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114300" distB="114300" distL="114300" distR="114300" wp14:anchorId="29F821C2" wp14:editId="2F33D5A6">
          <wp:extent cx="1428750" cy="409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114300" distB="114300" distL="114300" distR="114300" wp14:anchorId="72980C0B" wp14:editId="4E12F62C">
          <wp:extent cx="2081213" cy="337494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1213" cy="337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2D366E" w14:textId="77777777" w:rsidR="00756EF5" w:rsidRDefault="002A7E2E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Autoritate </w:t>
    </w:r>
    <w:proofErr w:type="spellStart"/>
    <w:r>
      <w:rPr>
        <w:rFonts w:ascii="Times New Roman" w:eastAsia="Times New Roman" w:hAnsi="Times New Roman" w:cs="Times New Roman"/>
      </w:rPr>
      <w:t>contractantă</w:t>
    </w:r>
    <w:proofErr w:type="spellEnd"/>
    <w:r>
      <w:rPr>
        <w:rFonts w:ascii="Times New Roman" w:eastAsia="Times New Roman" w:hAnsi="Times New Roman" w:cs="Times New Roman"/>
      </w:rPr>
      <w:t xml:space="preserve">: </w:t>
    </w:r>
    <w:proofErr w:type="spellStart"/>
    <w:r>
      <w:rPr>
        <w:rFonts w:ascii="Times New Roman" w:eastAsia="Times New Roman" w:hAnsi="Times New Roman" w:cs="Times New Roman"/>
      </w:rPr>
      <w:t>Municipiul</w:t>
    </w:r>
    <w:proofErr w:type="spellEnd"/>
    <w:r>
      <w:rPr>
        <w:rFonts w:ascii="Times New Roman" w:eastAsia="Times New Roman" w:hAnsi="Times New Roman" w:cs="Times New Roman"/>
      </w:rPr>
      <w:t xml:space="preserve"> Piatra-</w:t>
    </w:r>
    <w:proofErr w:type="spellStart"/>
    <w:r>
      <w:rPr>
        <w:rFonts w:ascii="Times New Roman" w:eastAsia="Times New Roman" w:hAnsi="Times New Roman" w:cs="Times New Roman"/>
      </w:rPr>
      <w:t>Neamț</w:t>
    </w:r>
    <w:proofErr w:type="spellEnd"/>
  </w:p>
  <w:p w14:paraId="7F8DE14A" w14:textId="77777777" w:rsidR="00756EF5" w:rsidRDefault="002A7E2E">
    <w:pPr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Obiect</w:t>
    </w:r>
    <w:proofErr w:type="spellEnd"/>
    <w:r>
      <w:rPr>
        <w:rFonts w:ascii="Times New Roman" w:eastAsia="Times New Roman" w:hAnsi="Times New Roman" w:cs="Times New Roman"/>
      </w:rPr>
      <w:t xml:space="preserve">: </w:t>
    </w:r>
    <w:proofErr w:type="spellStart"/>
    <w:r>
      <w:rPr>
        <w:rFonts w:ascii="Times New Roman" w:eastAsia="Times New Roman" w:hAnsi="Times New Roman" w:cs="Times New Roman"/>
      </w:rPr>
      <w:t>Dotarea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și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echiparea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unităților</w:t>
    </w:r>
    <w:proofErr w:type="spellEnd"/>
    <w:r>
      <w:rPr>
        <w:rFonts w:ascii="Times New Roman" w:eastAsia="Times New Roman" w:hAnsi="Times New Roman" w:cs="Times New Roman"/>
      </w:rPr>
      <w:t xml:space="preserve"> de </w:t>
    </w:r>
    <w:proofErr w:type="spellStart"/>
    <w:r>
      <w:rPr>
        <w:rFonts w:ascii="Times New Roman" w:eastAsia="Times New Roman" w:hAnsi="Times New Roman" w:cs="Times New Roman"/>
      </w:rPr>
      <w:t>învățământ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în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vederea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creșterii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calității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actului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educațional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și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realizării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tranziției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digitale</w:t>
    </w:r>
    <w:proofErr w:type="spellEnd"/>
  </w:p>
  <w:p w14:paraId="0108D118" w14:textId="77777777" w:rsidR="00756EF5" w:rsidRDefault="00756EF5">
    <w:pPr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EF5"/>
    <w:rsid w:val="001319CA"/>
    <w:rsid w:val="001F6C7D"/>
    <w:rsid w:val="002A7E2E"/>
    <w:rsid w:val="005A5387"/>
    <w:rsid w:val="00756EF5"/>
    <w:rsid w:val="0087652C"/>
    <w:rsid w:val="00A90203"/>
    <w:rsid w:val="00BF700C"/>
    <w:rsid w:val="00F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DA46"/>
  <w15:docId w15:val="{A33A6AB1-9356-4B4E-9453-2D5659F2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A7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tcCvWaNn/QpXQcaezju7GVQBw==">CgMxLjA4AHIhMTE4UTU0YWFlRk5kNWtXZTl5UGxhLUlhd2ZhMUZhRVp4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Luies Stingu</cp:lastModifiedBy>
  <cp:revision>4</cp:revision>
  <dcterms:created xsi:type="dcterms:W3CDTF">2024-01-30T12:45:00Z</dcterms:created>
  <dcterms:modified xsi:type="dcterms:W3CDTF">2024-07-22T08:03:00Z</dcterms:modified>
</cp:coreProperties>
</file>