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w:t>
      </w:r>
      <w:r w:rsidR="00CF7F52">
        <w:rPr>
          <w:b/>
          <w:sz w:val="22"/>
          <w:szCs w:val="22"/>
          <w:lang w:val="ro-RO"/>
        </w:rPr>
        <w:t>20</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w:t>
      </w:r>
      <w:r w:rsidR="00CF7F52">
        <w:rPr>
          <w:b/>
          <w:sz w:val="22"/>
          <w:szCs w:val="22"/>
          <w:lang w:val="ro-RO"/>
        </w:rPr>
        <w:t>2020</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CF7F52" w:rsidRDefault="009F3CA4" w:rsidP="00CF7F52">
      <w:pPr>
        <w:pStyle w:val="Default"/>
        <w:rPr>
          <w:rStyle w:val="tpa1"/>
          <w:color w:val="auto"/>
        </w:rPr>
      </w:pPr>
      <w:r w:rsidRPr="00E91D84">
        <w:rPr>
          <w:lang w:val="it-IT"/>
        </w:rPr>
        <w:t xml:space="preserve">4.1. - Prestatorul se obligă să presteze </w:t>
      </w:r>
      <w:r w:rsidR="00CF7F52" w:rsidRPr="00336B75">
        <w:rPr>
          <w:b/>
          <w:bCs/>
          <w:color w:val="auto"/>
          <w:sz w:val="22"/>
          <w:szCs w:val="22"/>
        </w:rPr>
        <w:t>Serviciul de pază</w:t>
      </w:r>
      <w:r w:rsidR="00CF7F52">
        <w:rPr>
          <w:b/>
          <w:bCs/>
          <w:color w:val="auto"/>
          <w:sz w:val="22"/>
          <w:szCs w:val="22"/>
        </w:rPr>
        <w:t xml:space="preserve"> la Depozitul de Deșeuri, Echipamente Electrice și Electronice din Municipiul Piatra Neamț</w:t>
      </w:r>
      <w:r w:rsidR="00CF7F52" w:rsidRPr="00336B75">
        <w:rPr>
          <w:bCs/>
          <w:color w:val="auto"/>
          <w:sz w:val="22"/>
          <w:szCs w:val="22"/>
        </w:rPr>
        <w:t xml:space="preserve">, </w:t>
      </w:r>
      <w:r w:rsidR="00CF7F52">
        <w:rPr>
          <w:bCs/>
          <w:color w:val="auto"/>
          <w:sz w:val="22"/>
          <w:szCs w:val="22"/>
        </w:rPr>
        <w:t>cod</w:t>
      </w:r>
      <w:r w:rsidR="00CF7F52">
        <w:rPr>
          <w:rFonts w:eastAsia="Batang"/>
        </w:rPr>
        <w:t xml:space="preserve"> de clasificare C.P.V.:</w:t>
      </w:r>
      <w:r w:rsidR="00CF7F52">
        <w:rPr>
          <w:rFonts w:eastAsia="Batang"/>
          <w:b/>
        </w:rPr>
        <w:t xml:space="preserve"> </w:t>
      </w:r>
      <w:r w:rsidR="00CF7F52">
        <w:rPr>
          <w:b/>
        </w:rPr>
        <w:t>79713000-5 servicii de pază ( rev.2)</w:t>
      </w:r>
    </w:p>
    <w:p w:rsidR="009F3CA4" w:rsidRPr="00E91D84" w:rsidRDefault="00AA4307" w:rsidP="000B4791">
      <w:pPr>
        <w:rPr>
          <w:lang w:val="it-IT"/>
        </w:rPr>
      </w:pPr>
      <w:r w:rsidRPr="00E91D84">
        <w:t>,</w:t>
      </w:r>
      <w:r w:rsidR="006C3D33" w:rsidRPr="00E91D84">
        <w:rPr>
          <w:b/>
        </w:rPr>
        <w:t xml:space="preserve"> </w:t>
      </w:r>
      <w:r w:rsidR="009F3CA4" w:rsidRPr="00E91D84">
        <w:rPr>
          <w:lang w:val="it-IT"/>
        </w:rPr>
        <w:t>în perioad</w:t>
      </w:r>
      <w:r w:rsidR="000B6EA4" w:rsidRPr="00E91D84">
        <w:rPr>
          <w:lang w:val="it-IT"/>
        </w:rPr>
        <w:t>a</w:t>
      </w:r>
      <w:r w:rsidR="009F3CA4" w:rsidRPr="00E91D84">
        <w:rPr>
          <w:lang w:val="it-IT"/>
        </w:rPr>
        <w:t xml:space="preserve"> convenit</w:t>
      </w:r>
      <w:r w:rsidR="000B6EA4" w:rsidRPr="00E91D84">
        <w:rPr>
          <w:lang w:val="it-IT"/>
        </w:rPr>
        <w:t>ă</w:t>
      </w:r>
      <w:r w:rsidR="009F3CA4" w:rsidRPr="00E91D84">
        <w:rPr>
          <w:lang w:val="it-IT"/>
        </w:rPr>
        <w:t xml:space="preserve"> şi în conformitate cu obligaţiile asumate prin prezentul contract</w:t>
      </w:r>
      <w:r w:rsidR="00177178" w:rsidRPr="00E91D84">
        <w:rPr>
          <w:lang w:val="it-IT"/>
        </w:rPr>
        <w:t xml:space="preserve"> pentru preţul de </w:t>
      </w:r>
      <w:r w:rsidR="00E716A2" w:rsidRPr="00E91D84">
        <w:rPr>
          <w:b/>
          <w:lang w:val="it-IT"/>
        </w:rPr>
        <w:t xml:space="preserve">      </w:t>
      </w:r>
      <w:r w:rsidR="000B6EA4" w:rsidRPr="00E91D84">
        <w:rPr>
          <w:b/>
          <w:lang w:val="it-IT"/>
        </w:rPr>
        <w:t xml:space="preserve"> </w:t>
      </w:r>
      <w:r w:rsidR="00177178" w:rsidRPr="00E91D84">
        <w:rPr>
          <w:b/>
          <w:lang w:val="it-IT"/>
        </w:rPr>
        <w:t>lei inclusiv TVA</w:t>
      </w:r>
      <w:r w:rsidR="00E716A2" w:rsidRPr="00E91D84">
        <w:rPr>
          <w:b/>
          <w:lang w:val="it-IT"/>
        </w:rPr>
        <w:t>.</w:t>
      </w:r>
    </w:p>
    <w:p w:rsidR="000B4791" w:rsidRPr="000B4791" w:rsidRDefault="009F3CA4" w:rsidP="000B4791">
      <w:pPr>
        <w:jc w:val="both"/>
        <w:rPr>
          <w:rStyle w:val="tpa1"/>
          <w:b/>
          <w:sz w:val="22"/>
          <w:szCs w:val="22"/>
        </w:rPr>
      </w:pPr>
      <w:r w:rsidRPr="00B11E0C">
        <w:rPr>
          <w:lang w:val="it-IT"/>
        </w:rPr>
        <w:t xml:space="preserve">4.2. - Achizitorul se obligă să plătească prestatorului </w:t>
      </w:r>
      <w:r w:rsidR="000B4791">
        <w:rPr>
          <w:lang w:val="it-IT"/>
        </w:rPr>
        <w:t xml:space="preserve">tariful </w:t>
      </w:r>
      <w:r w:rsidR="003B2BE8" w:rsidRPr="00B11E0C">
        <w:rPr>
          <w:lang w:val="it-IT"/>
        </w:rPr>
        <w:t xml:space="preserve">de </w:t>
      </w:r>
      <w:r w:rsidR="00AA4307" w:rsidRPr="00B11E0C">
        <w:rPr>
          <w:lang w:val="it-IT"/>
        </w:rPr>
        <w:t>_____</w:t>
      </w:r>
      <w:r w:rsidR="003B2BE8" w:rsidRPr="00B11E0C">
        <w:rPr>
          <w:lang w:val="it-IT"/>
        </w:rPr>
        <w:t xml:space="preserve"> lei </w:t>
      </w:r>
      <w:r w:rsidR="00B11E0C">
        <w:rPr>
          <w:lang w:val="it-IT"/>
        </w:rPr>
        <w:t xml:space="preserve">fără TVA / oră </w:t>
      </w:r>
      <w:r w:rsidR="003B2BE8" w:rsidRPr="00B11E0C">
        <w:rPr>
          <w:lang w:val="it-IT"/>
        </w:rPr>
        <w:t xml:space="preserve">, </w:t>
      </w:r>
      <w:r w:rsidRPr="00B11E0C">
        <w:rPr>
          <w:lang w:val="it-IT"/>
        </w:rPr>
        <w:t xml:space="preserve">convenit pentru îndeplinirea contractului </w:t>
      </w:r>
      <w:r w:rsidR="000B4791">
        <w:rPr>
          <w:lang w:val="it-IT"/>
        </w:rPr>
        <w:t xml:space="preserve">: </w:t>
      </w:r>
      <w:r w:rsidR="00CF7F52" w:rsidRPr="00336B75">
        <w:rPr>
          <w:b/>
          <w:bCs/>
          <w:sz w:val="22"/>
          <w:szCs w:val="22"/>
        </w:rPr>
        <w:t>Serviciul de pază</w:t>
      </w:r>
      <w:r w:rsidR="00CF7F52">
        <w:rPr>
          <w:b/>
          <w:bCs/>
          <w:sz w:val="22"/>
          <w:szCs w:val="22"/>
        </w:rPr>
        <w:t xml:space="preserve"> la Depozitul de Deșeuri, Echipamente Electrice și Electronice din Municipiul Piatra Neamț</w:t>
      </w:r>
      <w:r w:rsidR="00CF7F52" w:rsidRPr="00336B75">
        <w:rPr>
          <w:bCs/>
          <w:sz w:val="22"/>
          <w:szCs w:val="22"/>
        </w:rPr>
        <w:t xml:space="preserve">, </w:t>
      </w:r>
      <w:r w:rsidR="00CF7F52">
        <w:rPr>
          <w:bCs/>
          <w:sz w:val="22"/>
          <w:szCs w:val="22"/>
        </w:rPr>
        <w:t>cod</w:t>
      </w:r>
      <w:r w:rsidR="00CF7F52">
        <w:rPr>
          <w:rFonts w:eastAsia="Batang"/>
        </w:rPr>
        <w:t xml:space="preserve"> de clasificare C.P.V.:</w:t>
      </w:r>
      <w:r w:rsidR="00CF7F52">
        <w:rPr>
          <w:rFonts w:eastAsia="Batang"/>
          <w:b/>
        </w:rPr>
        <w:t xml:space="preserve"> </w:t>
      </w:r>
      <w:r w:rsidR="00CF7F52">
        <w:rPr>
          <w:b/>
        </w:rPr>
        <w:t>79713000-5 servicii de pază ( rev.2)</w:t>
      </w:r>
      <w:r w:rsidR="000B4791">
        <w:rPr>
          <w:sz w:val="22"/>
          <w:szCs w:val="22"/>
        </w:rPr>
        <w:t>;</w:t>
      </w:r>
      <w:r w:rsidR="000B4791" w:rsidRPr="000B4791">
        <w:rPr>
          <w:b/>
          <w:sz w:val="22"/>
          <w:szCs w:val="22"/>
        </w:rPr>
        <w:t xml:space="preserve"> </w:t>
      </w:r>
    </w:p>
    <w:p w:rsidR="009F3CA4" w:rsidRDefault="00C73937" w:rsidP="000B4791">
      <w:pPr>
        <w:pStyle w:val="Frspaiere"/>
        <w:jc w:val="both"/>
        <w:rPr>
          <w:b/>
          <w:lang w:val="it-IT"/>
        </w:rPr>
      </w:pPr>
      <w:r w:rsidRPr="007A0040">
        <w:rPr>
          <w:rFonts w:eastAsia="Batang"/>
          <w:lang w:val="it-IT"/>
        </w:rPr>
        <w:t>4.3</w:t>
      </w:r>
      <w:r w:rsidR="009F3CA4" w:rsidRPr="00B06E95">
        <w:rPr>
          <w:lang w:val="it-IT"/>
        </w:rPr>
        <w:t>. - Preţul convenit pentru îndeplinirea contractului, respectiv preţul serviciilor prestate, plătibil prestatorului de către achizitor, este de</w:t>
      </w:r>
      <w:r w:rsidR="00A07E19" w:rsidRPr="00B06E95">
        <w:rPr>
          <w:lang w:val="it-IT"/>
        </w:rPr>
        <w:t xml:space="preserve"> </w:t>
      </w:r>
      <w:r w:rsidR="00AA4307" w:rsidRPr="00B06E95">
        <w:rPr>
          <w:b/>
          <w:lang w:val="it-IT"/>
        </w:rPr>
        <w:t>____</w:t>
      </w:r>
      <w:r w:rsidR="00A07E19" w:rsidRPr="00B06E95">
        <w:rPr>
          <w:b/>
          <w:lang w:val="it-IT"/>
        </w:rPr>
        <w:t xml:space="preserve"> lei</w:t>
      </w:r>
      <w:r w:rsidR="009F3CA4" w:rsidRPr="00B06E95">
        <w:rPr>
          <w:lang w:val="it-IT"/>
        </w:rPr>
        <w:t xml:space="preserve"> </w:t>
      </w:r>
      <w:r w:rsidR="009F3CA4" w:rsidRPr="00B06E95">
        <w:rPr>
          <w:b/>
          <w:lang w:val="it-IT"/>
        </w:rPr>
        <w:t xml:space="preserve"> </w:t>
      </w:r>
      <w:r w:rsidR="00177178" w:rsidRPr="00B06E95">
        <w:rPr>
          <w:b/>
          <w:lang w:val="it-IT"/>
        </w:rPr>
        <w:t>la care se adaugă</w:t>
      </w:r>
      <w:r w:rsidR="009F3CA4" w:rsidRPr="00B06E95">
        <w:rPr>
          <w:b/>
          <w:lang w:val="it-IT"/>
        </w:rPr>
        <w:t xml:space="preserve"> T.V.A. </w:t>
      </w:r>
      <w:r w:rsidR="00A07E19" w:rsidRPr="00B06E95">
        <w:rPr>
          <w:b/>
          <w:lang w:val="it-IT"/>
        </w:rPr>
        <w:t xml:space="preserve">de </w:t>
      </w:r>
      <w:r w:rsidR="00AA4307" w:rsidRPr="00B06E95">
        <w:rPr>
          <w:b/>
          <w:lang w:val="it-IT"/>
        </w:rPr>
        <w:t>____</w:t>
      </w:r>
      <w:r w:rsidR="00607320">
        <w:rPr>
          <w:b/>
          <w:lang w:val="it-IT"/>
        </w:rPr>
        <w:t xml:space="preserve"> lei, astlel:</w:t>
      </w:r>
    </w:p>
    <w:p w:rsidR="002108BC" w:rsidRDefault="002108BC" w:rsidP="006A6FC4">
      <w:pPr>
        <w:pStyle w:val="DefaultText2"/>
        <w:jc w:val="both"/>
        <w:rPr>
          <w:b/>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lastRenderedPageBreak/>
        <w:t xml:space="preserve">5.1 – Durata prezentului contract </w:t>
      </w:r>
      <w:r w:rsidR="008D0D89" w:rsidRPr="00B06E95">
        <w:rPr>
          <w:sz w:val="22"/>
          <w:szCs w:val="22"/>
          <w:lang w:val="it-IT"/>
        </w:rPr>
        <w:t xml:space="preserve">este de </w:t>
      </w:r>
      <w:r w:rsidR="000B4791">
        <w:rPr>
          <w:sz w:val="22"/>
          <w:szCs w:val="22"/>
          <w:lang w:val="it-IT"/>
        </w:rPr>
        <w:t>12</w:t>
      </w:r>
      <w:r w:rsidR="00AA4307" w:rsidRPr="007A0040">
        <w:rPr>
          <w:sz w:val="22"/>
          <w:szCs w:val="22"/>
          <w:lang w:val="it-IT"/>
        </w:rPr>
        <w:t xml:space="preserve"> luni, </w:t>
      </w:r>
      <w:r w:rsidR="00B06E95" w:rsidRPr="007A0040">
        <w:rPr>
          <w:sz w:val="22"/>
          <w:szCs w:val="22"/>
          <w:lang w:val="it-IT"/>
        </w:rPr>
        <w:t>de la dat</w:t>
      </w:r>
      <w:r w:rsidR="000B4791">
        <w:rPr>
          <w:sz w:val="22"/>
          <w:szCs w:val="22"/>
          <w:lang w:val="it-IT"/>
        </w:rPr>
        <w:t>a semnării lui de ambele părți.</w:t>
      </w:r>
    </w:p>
    <w:p w:rsidR="00AA4307" w:rsidRPr="007A0040" w:rsidRDefault="000B4791" w:rsidP="00781DF4">
      <w:pPr>
        <w:widowControl w:val="0"/>
        <w:suppressAutoHyphens/>
        <w:jc w:val="both"/>
        <w:rPr>
          <w:sz w:val="22"/>
          <w:szCs w:val="22"/>
          <w:lang w:val="it-IT"/>
        </w:rPr>
      </w:pPr>
      <w:r>
        <w:rPr>
          <w:sz w:val="22"/>
          <w:szCs w:val="22"/>
          <w:lang w:val="it-IT"/>
        </w:rPr>
        <w:t xml:space="preserve"> </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264C31" w:rsidRPr="0068283D">
        <w:rPr>
          <w:b/>
          <w:i/>
          <w:sz w:val="22"/>
          <w:szCs w:val="22"/>
          <w:lang w:val="ro-RO"/>
        </w:rPr>
        <w:t xml:space="preserve"> </w:t>
      </w:r>
      <w:r w:rsidR="0025575C" w:rsidRPr="0068283D">
        <w:rPr>
          <w:b/>
          <w:i/>
          <w:sz w:val="22"/>
          <w:szCs w:val="22"/>
          <w:lang w:val="ro-RO"/>
        </w:rPr>
        <w:t xml:space="preserve"> </w:t>
      </w:r>
      <w:r w:rsidR="000B37EF">
        <w:rPr>
          <w:b/>
          <w:i/>
          <w:sz w:val="22"/>
          <w:szCs w:val="22"/>
          <w:lang w:val="ro-RO"/>
        </w:rPr>
        <w:t xml:space="preserve"> </w:t>
      </w:r>
    </w:p>
    <w:p w:rsidR="0065759C" w:rsidRPr="0068283D" w:rsidRDefault="008149BD" w:rsidP="00D917C4">
      <w:pPr>
        <w:pStyle w:val="DefaultText"/>
        <w:jc w:val="both"/>
        <w:rPr>
          <w:sz w:val="22"/>
          <w:szCs w:val="22"/>
          <w:lang w:val="fr-FR"/>
        </w:rPr>
      </w:pPr>
      <w:r w:rsidRPr="0068283D">
        <w:rPr>
          <w:sz w:val="22"/>
          <w:szCs w:val="22"/>
          <w:lang w:val="ro-RO"/>
        </w:rPr>
        <w:t xml:space="preserve">10.1  </w:t>
      </w:r>
      <w:r w:rsidR="0065759C" w:rsidRPr="0068283D">
        <w:rPr>
          <w:sz w:val="22"/>
          <w:szCs w:val="22"/>
          <w:lang w:val="fr-FR"/>
        </w:rPr>
        <w:t xml:space="preserve">Cuatumul garanţiei de bună execuţie  reprezintă </w:t>
      </w:r>
      <w:r w:rsidR="00012F80">
        <w:rPr>
          <w:sz w:val="22"/>
          <w:szCs w:val="22"/>
          <w:lang w:val="fr-FR"/>
        </w:rPr>
        <w:t xml:space="preserve">  </w:t>
      </w:r>
      <w:r w:rsidR="000B37EF">
        <w:rPr>
          <w:sz w:val="22"/>
          <w:szCs w:val="22"/>
          <w:lang w:val="fr-FR"/>
        </w:rPr>
        <w:t>5</w:t>
      </w:r>
      <w:r w:rsidR="00012F80">
        <w:rPr>
          <w:sz w:val="22"/>
          <w:szCs w:val="22"/>
          <w:lang w:val="fr-FR"/>
        </w:rPr>
        <w:t xml:space="preserve">  </w:t>
      </w:r>
      <w:r w:rsidR="0065759C" w:rsidRPr="0068283D">
        <w:rPr>
          <w:sz w:val="22"/>
          <w:szCs w:val="22"/>
          <w:lang w:val="fr-FR"/>
        </w:rPr>
        <w:t xml:space="preserve"> % din valoarea </w:t>
      </w:r>
      <w:r w:rsidR="004E6167">
        <w:rPr>
          <w:sz w:val="22"/>
          <w:szCs w:val="22"/>
          <w:lang w:val="fr-FR"/>
        </w:rPr>
        <w:t>contractului</w:t>
      </w:r>
      <w:r w:rsidR="0065759C" w:rsidRPr="0068283D">
        <w:rPr>
          <w:sz w:val="22"/>
          <w:szCs w:val="22"/>
          <w:lang w:val="fr-FR"/>
        </w:rPr>
        <w:t xml:space="preserve"> (fără TVA) şi se constituie</w:t>
      </w:r>
      <w:r w:rsidR="00086ABE">
        <w:rPr>
          <w:sz w:val="22"/>
          <w:szCs w:val="22"/>
          <w:lang w:val="fr-FR"/>
        </w:rPr>
        <w:t>, conform prevederilor art.</w:t>
      </w:r>
      <w:r w:rsidR="00086ABE" w:rsidRPr="00086ABE">
        <w:rPr>
          <w:sz w:val="22"/>
          <w:szCs w:val="22"/>
          <w:lang w:val="fr-FR"/>
        </w:rPr>
        <w:t xml:space="preserve"> </w:t>
      </w:r>
      <w:r w:rsidR="00793574">
        <w:rPr>
          <w:sz w:val="22"/>
          <w:szCs w:val="22"/>
          <w:lang w:val="fr-FR"/>
        </w:rPr>
        <w:t xml:space="preserve">39, </w:t>
      </w:r>
      <w:r w:rsidR="00086ABE" w:rsidRPr="0068283D">
        <w:rPr>
          <w:sz w:val="22"/>
          <w:szCs w:val="22"/>
          <w:lang w:val="fr-FR"/>
        </w:rPr>
        <w:t>40 din H</w:t>
      </w:r>
      <w:r w:rsidR="00086ABE">
        <w:rPr>
          <w:sz w:val="22"/>
          <w:szCs w:val="22"/>
          <w:lang w:val="fr-FR"/>
        </w:rPr>
        <w:t>.</w:t>
      </w:r>
      <w:r w:rsidR="00086ABE" w:rsidRPr="0068283D">
        <w:rPr>
          <w:sz w:val="22"/>
          <w:szCs w:val="22"/>
          <w:lang w:val="fr-FR"/>
        </w:rPr>
        <w:t>G</w:t>
      </w:r>
      <w:r w:rsidR="00086ABE">
        <w:rPr>
          <w:sz w:val="22"/>
          <w:szCs w:val="22"/>
          <w:lang w:val="fr-FR"/>
        </w:rPr>
        <w:t>.</w:t>
      </w:r>
      <w:r w:rsidR="00086ABE" w:rsidRPr="0068283D">
        <w:rPr>
          <w:sz w:val="22"/>
          <w:szCs w:val="22"/>
          <w:lang w:val="fr-FR"/>
        </w:rPr>
        <w:t xml:space="preserve"> </w:t>
      </w:r>
      <w:r w:rsidR="00086ABE">
        <w:rPr>
          <w:sz w:val="22"/>
          <w:szCs w:val="22"/>
          <w:lang w:val="fr-FR"/>
        </w:rPr>
        <w:t xml:space="preserve">nr. </w:t>
      </w:r>
      <w:r w:rsidR="00086ABE" w:rsidRPr="0068283D">
        <w:rPr>
          <w:sz w:val="22"/>
          <w:szCs w:val="22"/>
          <w:lang w:val="fr-FR"/>
        </w:rPr>
        <w:t>395/2016</w:t>
      </w:r>
      <w:r w:rsidR="00086ABE">
        <w:rPr>
          <w:sz w:val="22"/>
          <w:szCs w:val="22"/>
          <w:lang w:val="fr-FR"/>
        </w:rPr>
        <w:t>,</w:t>
      </w:r>
      <w:r w:rsidR="0065759C" w:rsidRPr="0068283D">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2</w:t>
      </w:r>
      <w:r w:rsidRPr="0068283D">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3</w:t>
      </w:r>
      <w:r w:rsidRPr="0068283D">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283D" w:rsidRDefault="0065759C" w:rsidP="00EA540A">
      <w:pPr>
        <w:overflowPunct w:val="0"/>
        <w:autoSpaceDE w:val="0"/>
        <w:autoSpaceDN w:val="0"/>
        <w:adjustRightInd w:val="0"/>
        <w:jc w:val="both"/>
        <w:textAlignment w:val="baseline"/>
        <w:rPr>
          <w:sz w:val="22"/>
          <w:szCs w:val="22"/>
          <w:lang w:val="it-IT" w:eastAsia="ro-RO"/>
        </w:rPr>
      </w:pPr>
      <w:r w:rsidRPr="0068283D">
        <w:rPr>
          <w:sz w:val="22"/>
          <w:szCs w:val="22"/>
          <w:lang w:val="it-IT" w:eastAsia="ro-RO"/>
        </w:rPr>
        <w:lastRenderedPageBreak/>
        <w:t>10.</w:t>
      </w:r>
      <w:r w:rsidR="00D917C4" w:rsidRPr="0068283D">
        <w:rPr>
          <w:sz w:val="22"/>
          <w:szCs w:val="22"/>
          <w:lang w:val="it-IT" w:eastAsia="ro-RO"/>
        </w:rPr>
        <w:t>4</w:t>
      </w:r>
      <w:r w:rsidRPr="0068283D">
        <w:rPr>
          <w:sz w:val="22"/>
          <w:szCs w:val="22"/>
          <w:lang w:val="it-IT" w:eastAsia="ro-RO"/>
        </w:rPr>
        <w:t>.</w:t>
      </w:r>
      <w:r w:rsidR="00EA540A" w:rsidRPr="0068283D">
        <w:rPr>
          <w:sz w:val="22"/>
          <w:szCs w:val="22"/>
          <w:lang w:val="it-IT" w:eastAsia="ro-RO"/>
        </w:rPr>
        <w:t xml:space="preserve"> Garanția se va constitui în conformitate cu art. 40 din H.G. nr. 395/2016</w:t>
      </w:r>
      <w:r w:rsidR="00086ABE">
        <w:rPr>
          <w:sz w:val="22"/>
          <w:szCs w:val="22"/>
          <w:lang w:val="it-IT" w:eastAsia="ro-RO"/>
        </w:rPr>
        <w:t>.</w:t>
      </w:r>
      <w:r w:rsidR="00EA540A" w:rsidRPr="0068283D">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086AB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086ABE">
        <w:rPr>
          <w:rFonts w:ascii="Times New Roman" w:hAnsi="Times New Roman" w:cs="Times New Roman"/>
          <w:sz w:val="22"/>
          <w:szCs w:val="22"/>
          <w:lang w:val="it-IT"/>
        </w:rPr>
        <w:t xml:space="preserve">10.5. </w:t>
      </w:r>
      <w:r w:rsidR="00EA540A" w:rsidRPr="00086ABE">
        <w:rPr>
          <w:rFonts w:ascii="Times New Roman" w:hAnsi="Times New Roman" w:cs="Times New Roman"/>
          <w:sz w:val="22"/>
          <w:szCs w:val="22"/>
          <w:lang w:val="it-IT"/>
        </w:rPr>
        <w:t>G</w:t>
      </w:r>
      <w:r w:rsidR="00EA540A" w:rsidRPr="00086ABE">
        <w:rPr>
          <w:rFonts w:ascii="Times New Roman" w:hAnsi="Times New Roman" w:cs="Times New Roman"/>
          <w:sz w:val="22"/>
          <w:szCs w:val="22"/>
          <w:lang w:val="pt-BR"/>
        </w:rPr>
        <w:t>aranţi</w:t>
      </w:r>
      <w:r w:rsidRPr="00086ABE">
        <w:rPr>
          <w:rFonts w:ascii="Times New Roman" w:hAnsi="Times New Roman" w:cs="Times New Roman"/>
          <w:sz w:val="22"/>
          <w:szCs w:val="22"/>
          <w:lang w:val="pt-BR"/>
        </w:rPr>
        <w:t>a</w:t>
      </w:r>
      <w:r w:rsidR="00EA540A" w:rsidRPr="00086ABE">
        <w:rPr>
          <w:rFonts w:ascii="Times New Roman" w:hAnsi="Times New Roman" w:cs="Times New Roman"/>
          <w:sz w:val="22"/>
          <w:szCs w:val="22"/>
          <w:lang w:val="pt-BR"/>
        </w:rPr>
        <w:t xml:space="preserve"> de bună execuţie, va fi eliberată </w:t>
      </w:r>
      <w:r w:rsidRPr="00086ABE">
        <w:rPr>
          <w:rFonts w:ascii="Times New Roman" w:hAnsi="Times New Roman" w:cs="Times New Roman"/>
          <w:sz w:val="22"/>
          <w:szCs w:val="22"/>
          <w:lang w:val="pt-BR"/>
        </w:rPr>
        <w:t>conform prevederilor art. 42</w:t>
      </w:r>
      <w:r w:rsidRPr="00086ABE">
        <w:rPr>
          <w:rFonts w:ascii="Times New Roman" w:hAnsi="Times New Roman" w:cs="Times New Roman"/>
          <w:sz w:val="22"/>
          <w:szCs w:val="22"/>
          <w:lang w:val="fr-FR"/>
        </w:rPr>
        <w:t xml:space="preserve"> din H.G. nr. 395/2016</w:t>
      </w:r>
      <w:r w:rsidRPr="00086ABE">
        <w:rPr>
          <w:rFonts w:ascii="Times New Roman" w:hAnsi="Times New Roman" w:cs="Times New Roman"/>
          <w:sz w:val="22"/>
          <w:szCs w:val="22"/>
          <w:lang w:val="pt-BR"/>
        </w:rPr>
        <w:t xml:space="preserve"> </w:t>
      </w:r>
      <w:r w:rsidR="00EA540A" w:rsidRPr="00086ABE">
        <w:rPr>
          <w:rFonts w:ascii="Times New Roman" w:hAnsi="Times New Roman" w:cs="Times New Roman"/>
          <w:sz w:val="22"/>
          <w:szCs w:val="22"/>
          <w:lang w:val="pt-BR"/>
        </w:rPr>
        <w:t>astfel:</w:t>
      </w:r>
    </w:p>
    <w:p w:rsidR="00A6554B" w:rsidRPr="00A6554B" w:rsidRDefault="00EA540A" w:rsidP="00A6554B">
      <w:pPr>
        <w:pStyle w:val="Default"/>
        <w:framePr w:hSpace="180" w:wrap="auto" w:vAnchor="text" w:hAnchor="margin" w:xAlign="center" w:y="118"/>
        <w:rPr>
          <w:color w:val="auto"/>
        </w:rPr>
      </w:pPr>
      <w:r w:rsidRPr="00A6554B">
        <w:rPr>
          <w:lang w:val="pt-BR"/>
        </w:rPr>
        <w:t xml:space="preserve"> </w:t>
      </w:r>
      <w:r w:rsidR="00A6554B">
        <w:rPr>
          <w:color w:val="auto"/>
        </w:rPr>
        <w:t>10.5.1.</w:t>
      </w:r>
      <w:r w:rsidR="00A6554B" w:rsidRPr="00A6554B">
        <w:rPr>
          <w:color w:val="auto"/>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Pr>
          <w:color w:val="auto"/>
        </w:rPr>
        <w:t>10.5.2.</w:t>
      </w:r>
      <w:r w:rsidRPr="00A6554B">
        <w:rPr>
          <w:color w:val="auto"/>
        </w:rPr>
        <w:t xml:space="preserve"> În cazul contractelor de servicii de proiectare, autoritatea contractantă are obligaţia de a elibera/restitui garanţia de bună execuţie după cum urmează: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A6554B" w:rsidRDefault="00EA540A" w:rsidP="00086ABE">
      <w:pPr>
        <w:pStyle w:val="Corptext"/>
        <w:framePr w:hSpace="180" w:wrap="auto" w:vAnchor="text" w:hAnchor="margin" w:xAlign="center" w:y="118"/>
        <w:tabs>
          <w:tab w:val="left" w:pos="360"/>
        </w:tabs>
        <w:suppressAutoHyphens/>
        <w:rPr>
          <w:sz w:val="24"/>
          <w:szCs w:val="24"/>
          <w:lang w:val="ro-RO"/>
        </w:rPr>
      </w:pPr>
    </w:p>
    <w:p w:rsidR="00EA540A" w:rsidRPr="0068283D" w:rsidRDefault="00EA540A" w:rsidP="00EA540A">
      <w:pPr>
        <w:pStyle w:val="DefaultText1"/>
        <w:jc w:val="both"/>
        <w:rPr>
          <w:b/>
          <w:sz w:val="22"/>
          <w:szCs w:val="22"/>
          <w:lang w:val="pt-BR"/>
        </w:rPr>
      </w:pPr>
      <w:r w:rsidRPr="0068283D">
        <w:rPr>
          <w:sz w:val="22"/>
          <w:szCs w:val="22"/>
          <w:lang w:val="pt-BR"/>
        </w:rPr>
        <w:t>10.</w:t>
      </w:r>
      <w:r w:rsidR="0065759C" w:rsidRPr="0068283D">
        <w:rPr>
          <w:sz w:val="22"/>
          <w:szCs w:val="22"/>
          <w:lang w:val="pt-BR"/>
        </w:rPr>
        <w:t>6</w:t>
      </w:r>
      <w:r w:rsidRPr="0068283D">
        <w:rPr>
          <w:sz w:val="22"/>
          <w:szCs w:val="22"/>
          <w:lang w:val="pt-BR"/>
        </w:rPr>
        <w:t xml:space="preserve"> - Achizitorul se obligă să elibereze garanţia pentru participare după ce executantul a făcut dovada constituirii garanţiei de bună execuţie</w:t>
      </w:r>
      <w:r w:rsidRPr="0068283D">
        <w:rPr>
          <w:b/>
          <w:sz w:val="22"/>
          <w:szCs w:val="22"/>
          <w:lang w:val="pt-BR"/>
        </w:rPr>
        <w:t>.</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7</w:t>
      </w:r>
      <w:r w:rsidRPr="0068283D">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8</w:t>
      </w:r>
      <w:r w:rsidRPr="0068283D">
        <w:rPr>
          <w:sz w:val="22"/>
          <w:szCs w:val="22"/>
          <w:lang w:val="pt-BR"/>
        </w:rPr>
        <w:t xml:space="preserve"> - Achizitorul se obligă să restituie garanţia de bună execuţie în termen de 30 zile. de la executarea obligaţiilor asumate.</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lastRenderedPageBreak/>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D2315D" w:rsidRDefault="00D2315D" w:rsidP="00D2315D">
      <w:pPr>
        <w:pStyle w:val="DefaultText2"/>
        <w:jc w:val="both"/>
        <w:rPr>
          <w:szCs w:val="24"/>
          <w:lang w:val="it-IT"/>
        </w:rPr>
      </w:pPr>
      <w:r w:rsidRPr="00D2315D">
        <w:rPr>
          <w:szCs w:val="24"/>
          <w:lang w:val="it-IT"/>
        </w:rPr>
        <w:t xml:space="preserve">14.5 – </w:t>
      </w:r>
      <w:r w:rsidRPr="00793574">
        <w:rPr>
          <w:szCs w:val="24"/>
          <w:lang w:val="it-IT"/>
        </w:rPr>
        <w:t xml:space="preserve">În cazul în care, în </w:t>
      </w:r>
      <w:r w:rsidRPr="00793574">
        <w:rPr>
          <w:szCs w:val="24"/>
        </w:rPr>
        <w:t>etapa postatribuire, respectiv executarea şi monitorizarea implementării contractului</w:t>
      </w:r>
      <w:r w:rsidRPr="00793574">
        <w:rPr>
          <w:szCs w:val="24"/>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0A7AF0" w:rsidRPr="00E452B7" w:rsidRDefault="000A7AF0" w:rsidP="000A7AF0">
      <w:pPr>
        <w:pStyle w:val="DefaultText"/>
        <w:jc w:val="both"/>
        <w:rPr>
          <w:b/>
          <w:color w:val="000000" w:themeColor="text1"/>
          <w:szCs w:val="24"/>
          <w:lang w:val="fr-FR"/>
        </w:rPr>
      </w:pPr>
      <w:r w:rsidRPr="00E452B7">
        <w:rPr>
          <w:color w:val="000000" w:themeColor="text1"/>
          <w:szCs w:val="24"/>
          <w:lang w:val="fr-FR"/>
        </w:rPr>
        <w:t>15.3</w:t>
      </w:r>
      <w:r w:rsidRPr="00E452B7">
        <w:rPr>
          <w:b/>
          <w:color w:val="000000" w:themeColor="text1"/>
          <w:szCs w:val="24"/>
          <w:lang w:val="fr-FR"/>
        </w:rPr>
        <w:t xml:space="preserve"> - </w:t>
      </w:r>
      <w:r w:rsidRPr="00E452B7">
        <w:rPr>
          <w:color w:val="000000" w:themeColor="text1"/>
          <w:szCs w:val="24"/>
          <w:lang w:val="fr-FR"/>
        </w:rPr>
        <w:t>Prețul contractului se ajustează în cazul apariției de modificări legislative privind salariul minim brut pe țară, garantat în plată. Ajustarea prețului se va face prin act adițional, semnat de către ambele părți</w:t>
      </w:r>
      <w:r w:rsidR="00E452B7">
        <w:rPr>
          <w:color w:val="000000" w:themeColor="text1"/>
          <w:szCs w:val="24"/>
          <w:lang w:val="fr-FR"/>
        </w:rPr>
        <w:t>.</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lastRenderedPageBreak/>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06" w:rsidRDefault="00805B06">
      <w:r>
        <w:separator/>
      </w:r>
    </w:p>
  </w:endnote>
  <w:endnote w:type="continuationSeparator" w:id="0">
    <w:p w:rsidR="00805B06" w:rsidRDefault="00805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06" w:rsidRDefault="00805B06">
      <w:r>
        <w:separator/>
      </w:r>
    </w:p>
  </w:footnote>
  <w:footnote w:type="continuationSeparator" w:id="0">
    <w:p w:rsidR="00805B06" w:rsidRDefault="00805B06">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D7830"/>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56F57"/>
    <w:rsid w:val="00580551"/>
    <w:rsid w:val="005A7CC2"/>
    <w:rsid w:val="005C2B2A"/>
    <w:rsid w:val="005C5B81"/>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6F20B0"/>
    <w:rsid w:val="007143C2"/>
    <w:rsid w:val="00720511"/>
    <w:rsid w:val="00721CC1"/>
    <w:rsid w:val="00743048"/>
    <w:rsid w:val="00765011"/>
    <w:rsid w:val="00781DF4"/>
    <w:rsid w:val="00793574"/>
    <w:rsid w:val="007A0040"/>
    <w:rsid w:val="00805B06"/>
    <w:rsid w:val="008149BD"/>
    <w:rsid w:val="00836612"/>
    <w:rsid w:val="008375D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1D34"/>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16C1A"/>
    <w:rsid w:val="00C64990"/>
    <w:rsid w:val="00C73937"/>
    <w:rsid w:val="00C82FE4"/>
    <w:rsid w:val="00C87D46"/>
    <w:rsid w:val="00C94175"/>
    <w:rsid w:val="00CA57E8"/>
    <w:rsid w:val="00CB3803"/>
    <w:rsid w:val="00CB64C9"/>
    <w:rsid w:val="00CD3F97"/>
    <w:rsid w:val="00CF7F52"/>
    <w:rsid w:val="00D00589"/>
    <w:rsid w:val="00D13DE4"/>
    <w:rsid w:val="00D20300"/>
    <w:rsid w:val="00D2315D"/>
    <w:rsid w:val="00D419CF"/>
    <w:rsid w:val="00D56D8D"/>
    <w:rsid w:val="00D621D5"/>
    <w:rsid w:val="00D85391"/>
    <w:rsid w:val="00D917C4"/>
    <w:rsid w:val="00DB44E2"/>
    <w:rsid w:val="00E11B43"/>
    <w:rsid w:val="00E26C96"/>
    <w:rsid w:val="00E452B7"/>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B4"/>
    <w:rsid w:val="00F8445D"/>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2992</Words>
  <Characters>17359</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65</cp:revision>
  <cp:lastPrinted>2014-03-05T07:41:00Z</cp:lastPrinted>
  <dcterms:created xsi:type="dcterms:W3CDTF">2012-08-10T10:28:00Z</dcterms:created>
  <dcterms:modified xsi:type="dcterms:W3CDTF">2020-03-18T12:19:00Z</dcterms:modified>
</cp:coreProperties>
</file>