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FE31DF">
      <w:pPr>
        <w:jc w:val="cente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20</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20</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064A31" w:rsidRPr="00FE31DF">
        <w:rPr>
          <w:sz w:val="22"/>
          <w:szCs w:val="22"/>
          <w:lang w:val="it-IT"/>
        </w:rPr>
        <w:t xml:space="preserve">     </w:t>
      </w:r>
      <w:r w:rsidRPr="00FE31DF">
        <w:rPr>
          <w:sz w:val="22"/>
          <w:szCs w:val="22"/>
          <w:lang w:val="it-IT"/>
        </w:rPr>
        <w:t>TREZ</w:t>
      </w:r>
      <w:r w:rsidR="00064A31" w:rsidRPr="00FE31DF">
        <w:rPr>
          <w:sz w:val="22"/>
          <w:szCs w:val="22"/>
          <w:lang w:val="it-IT"/>
        </w:rPr>
        <w:t xml:space="preserve">                    </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w:t>
      </w:r>
      <w:r w:rsidR="00064A31" w:rsidRPr="00FE31DF">
        <w:rPr>
          <w:b/>
          <w:color w:val="000000"/>
          <w:sz w:val="22"/>
          <w:szCs w:val="22"/>
          <w:lang w:val="ro-RO"/>
        </w:rPr>
        <w:t xml:space="preserve"> </w:t>
      </w:r>
      <w:r w:rsidR="00064A31" w:rsidRPr="00FE31DF">
        <w:rPr>
          <w:color w:val="000000"/>
          <w:sz w:val="22"/>
          <w:szCs w:val="22"/>
          <w:lang w:val="ro-RO"/>
        </w:rPr>
        <w:t xml:space="preserve"> dl.</w:t>
      </w:r>
      <w:r w:rsidR="00064A31" w:rsidRPr="00FE31DF">
        <w:rPr>
          <w:b/>
          <w:color w:val="000000"/>
          <w:sz w:val="22"/>
          <w:szCs w:val="22"/>
          <w:lang w:val="ro-RO"/>
        </w:rPr>
        <w:t xml:space="preserve"> Dragoș C</w:t>
      </w:r>
      <w:r w:rsidR="0084161E" w:rsidRPr="00FE31DF">
        <w:rPr>
          <w:b/>
          <w:color w:val="000000"/>
          <w:sz w:val="22"/>
          <w:szCs w:val="22"/>
          <w:lang w:val="ro-RO"/>
        </w:rPr>
        <w:t>HITIC</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cod fiscal RO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C86FF5" w:rsidRPr="00FE31DF" w:rsidRDefault="00492827" w:rsidP="00FE31DF">
      <w:pPr>
        <w:autoSpaceDE w:val="0"/>
        <w:autoSpaceDN w:val="0"/>
        <w:adjustRightInd w:val="0"/>
        <w:rPr>
          <w:sz w:val="22"/>
          <w:szCs w:val="22"/>
        </w:rPr>
      </w:pPr>
      <w:r w:rsidRPr="00FE31DF">
        <w:rPr>
          <w:b/>
          <w:sz w:val="22"/>
          <w:szCs w:val="22"/>
        </w:rPr>
        <w:t>1.1.</w:t>
      </w:r>
      <w:r w:rsidRPr="00FE31DF">
        <w:rPr>
          <w:sz w:val="22"/>
          <w:szCs w:val="22"/>
        </w:rPr>
        <w:t xml:space="preserve"> Obiectul contractului îl reprezintă </w:t>
      </w:r>
      <w:r w:rsidR="0017352D" w:rsidRPr="00FE31DF">
        <w:rPr>
          <w:sz w:val="22"/>
          <w:szCs w:val="22"/>
        </w:rPr>
        <w:t xml:space="preserve"> </w:t>
      </w:r>
      <w:r w:rsidR="00D311FB" w:rsidRPr="00FE31DF">
        <w:rPr>
          <w:bCs/>
          <w:sz w:val="22"/>
          <w:szCs w:val="22"/>
        </w:rPr>
        <w:t>achiziționarea</w:t>
      </w:r>
      <w:r w:rsidR="00D311FB" w:rsidRPr="00FE31DF">
        <w:rPr>
          <w:b/>
          <w:bCs/>
          <w:sz w:val="22"/>
          <w:szCs w:val="22"/>
        </w:rPr>
        <w:t xml:space="preserve"> </w:t>
      </w:r>
      <w:r w:rsidR="000C60BA" w:rsidRPr="00FE31DF">
        <w:rPr>
          <w:b/>
          <w:bCs/>
          <w:sz w:val="22"/>
          <w:szCs w:val="22"/>
        </w:rPr>
        <w:t xml:space="preserve"> </w:t>
      </w:r>
      <w:r w:rsidR="00C86FF5" w:rsidRPr="00FE31DF">
        <w:rPr>
          <w:b/>
          <w:bCs/>
          <w:sz w:val="22"/>
          <w:szCs w:val="22"/>
        </w:rPr>
        <w:t xml:space="preserve">Serviciul de publicitate și informare pentru proiectul </w:t>
      </w:r>
      <w:r w:rsidR="00C86FF5" w:rsidRPr="00FE31DF">
        <w:rPr>
          <w:b/>
          <w:i/>
          <w:sz w:val="22"/>
          <w:szCs w:val="22"/>
        </w:rPr>
        <w:t>„Modernizare coridor integrat de mobilitate Est – Vest – strada Mihai Viteazu</w:t>
      </w:r>
      <w:r w:rsidR="00C86FF5" w:rsidRPr="00FE31DF">
        <w:rPr>
          <w:b/>
          <w:bCs/>
          <w:i/>
          <w:sz w:val="22"/>
          <w:szCs w:val="22"/>
        </w:rPr>
        <w:t>”</w:t>
      </w:r>
      <w:r w:rsidR="00C86FF5" w:rsidRPr="00FE31DF">
        <w:rPr>
          <w:b/>
          <w:bCs/>
          <w:sz w:val="22"/>
          <w:szCs w:val="22"/>
        </w:rPr>
        <w:t xml:space="preserve"> Cod SMIS 126606, </w:t>
      </w:r>
      <w:r w:rsidR="00C86FF5" w:rsidRPr="00FE31DF">
        <w:rPr>
          <w:rFonts w:eastAsia="Batang"/>
          <w:sz w:val="22"/>
          <w:szCs w:val="22"/>
        </w:rPr>
        <w:t>Codul de clasificare C.P.V.: 79341000-6 servicii de publicitate</w:t>
      </w:r>
      <w:r w:rsidR="00C86FF5" w:rsidRPr="00FE31DF">
        <w:rPr>
          <w:b/>
          <w:sz w:val="22"/>
          <w:szCs w:val="22"/>
        </w:rPr>
        <w:t xml:space="preserve"> </w:t>
      </w:r>
      <w:r w:rsidR="00C86FF5" w:rsidRPr="00FE31DF">
        <w:rPr>
          <w:sz w:val="22"/>
          <w:szCs w:val="22"/>
        </w:rPr>
        <w:t>( rev. 2);</w:t>
      </w:r>
    </w:p>
    <w:p w:rsidR="00492827" w:rsidRPr="00FE31DF" w:rsidRDefault="00492827" w:rsidP="00FE31DF">
      <w:pPr>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A91C66"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 xml:space="preserve"> </w:t>
      </w:r>
      <w:r w:rsidR="00492827" w:rsidRPr="00FE31DF">
        <w:rPr>
          <w:rFonts w:ascii="Times New Roman" w:hAnsi="Times New Roman" w:cs="Times New Roman"/>
          <w:sz w:val="22"/>
          <w:szCs w:val="22"/>
        </w:rPr>
        <w:t>obiectivului de investiţii</w:t>
      </w:r>
      <w:r w:rsidR="00492827" w:rsidRPr="00FE31DF">
        <w:rPr>
          <w:rFonts w:ascii="Times New Roman" w:hAnsi="Times New Roman" w:cs="Times New Roman"/>
          <w:sz w:val="22"/>
          <w:szCs w:val="22"/>
          <w:lang w:val="en-US"/>
        </w:rPr>
        <w:t xml:space="preserve"> menționat la punctul 1.1.</w:t>
      </w:r>
      <w:r w:rsidR="0017352D" w:rsidRPr="00FE31DF">
        <w:rPr>
          <w:rFonts w:ascii="Times New Roman" w:hAnsi="Times New Roman" w:cs="Times New Roman"/>
          <w:sz w:val="22"/>
          <w:szCs w:val="22"/>
          <w:lang w:val="en-US"/>
        </w:rPr>
        <w:t>;</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4B0D6B" w:rsidRPr="00FE31DF" w:rsidRDefault="00492827" w:rsidP="00FE31DF">
      <w:pPr>
        <w:autoSpaceDE w:val="0"/>
        <w:autoSpaceDN w:val="0"/>
        <w:adjustRightInd w:val="0"/>
        <w:rPr>
          <w:sz w:val="22"/>
          <w:szCs w:val="22"/>
        </w:rPr>
      </w:pPr>
      <w:r w:rsidRPr="00FE31DF">
        <w:rPr>
          <w:b/>
          <w:spacing w:val="-2"/>
          <w:sz w:val="22"/>
          <w:szCs w:val="22"/>
        </w:rPr>
        <w:t>2.1.</w:t>
      </w:r>
      <w:r w:rsidRPr="00FE31DF">
        <w:rPr>
          <w:sz w:val="22"/>
          <w:szCs w:val="22"/>
          <w:lang w:val="it-IT"/>
        </w:rPr>
        <w:t xml:space="preserve"> Achizitorul se obligă să plătească prestatorului prețul de ___________ lei fără 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C86FF5" w:rsidRPr="00FE31DF">
        <w:rPr>
          <w:b/>
          <w:bCs/>
          <w:sz w:val="22"/>
          <w:szCs w:val="22"/>
        </w:rPr>
        <w:t xml:space="preserve">Serviciul de publicitate și informare pentru proiectul </w:t>
      </w:r>
      <w:r w:rsidR="00C86FF5" w:rsidRPr="00FE31DF">
        <w:rPr>
          <w:b/>
          <w:i/>
          <w:sz w:val="22"/>
          <w:szCs w:val="22"/>
        </w:rPr>
        <w:t>„Modernizare coridor integrat de mobilitate Est – Vest – strada Mihai Viteazu</w:t>
      </w:r>
      <w:r w:rsidR="00C86FF5" w:rsidRPr="00FE31DF">
        <w:rPr>
          <w:b/>
          <w:bCs/>
          <w:i/>
          <w:sz w:val="22"/>
          <w:szCs w:val="22"/>
        </w:rPr>
        <w:t>”</w:t>
      </w:r>
      <w:r w:rsidR="00C86FF5" w:rsidRPr="00FE31DF">
        <w:rPr>
          <w:b/>
          <w:bCs/>
          <w:sz w:val="22"/>
          <w:szCs w:val="22"/>
        </w:rPr>
        <w:t xml:space="preserve"> Cod SMIS 126606</w:t>
      </w:r>
      <w:r w:rsidR="004B0D6B" w:rsidRPr="00FE31DF">
        <w:rPr>
          <w:b/>
          <w:bCs/>
          <w:sz w:val="22"/>
          <w:szCs w:val="22"/>
        </w:rPr>
        <w:t xml:space="preserve">, </w:t>
      </w:r>
      <w:r w:rsidR="004B0D6B" w:rsidRPr="00FE31DF">
        <w:rPr>
          <w:rFonts w:eastAsia="Batang"/>
          <w:sz w:val="22"/>
          <w:szCs w:val="22"/>
        </w:rPr>
        <w:t>Codul de clasificare C.P.V.: 79341000-6 servicii de publicitate</w:t>
      </w:r>
      <w:r w:rsidR="004B0D6B" w:rsidRPr="00FE31DF">
        <w:rPr>
          <w:b/>
          <w:sz w:val="22"/>
          <w:szCs w:val="22"/>
        </w:rPr>
        <w:t xml:space="preserve"> </w:t>
      </w:r>
      <w:r w:rsidR="004B0D6B" w:rsidRPr="00FE31DF">
        <w:rPr>
          <w:sz w:val="22"/>
          <w:szCs w:val="22"/>
        </w:rPr>
        <w:t>( rev. 2)</w:t>
      </w:r>
    </w:p>
    <w:p w:rsidR="00492827" w:rsidRPr="00FE31DF"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5E393C" w:rsidRPr="00FE31DF" w:rsidRDefault="003C6C2C" w:rsidP="00FE31DF">
      <w:pPr>
        <w:tabs>
          <w:tab w:val="left" w:pos="0"/>
        </w:tabs>
        <w:jc w:val="both"/>
        <w:rPr>
          <w:sz w:val="22"/>
          <w:szCs w:val="22"/>
          <w:lang w:val="ro-RO"/>
        </w:rPr>
      </w:pPr>
      <w:r w:rsidRPr="00FE31DF">
        <w:rPr>
          <w:b/>
          <w:sz w:val="22"/>
          <w:szCs w:val="22"/>
          <w:lang w:val="it-IT"/>
        </w:rPr>
        <w:t xml:space="preserve">3.1. </w:t>
      </w:r>
      <w:r w:rsidR="005E393C" w:rsidRPr="00FE31DF">
        <w:rPr>
          <w:i/>
          <w:sz w:val="22"/>
          <w:szCs w:val="22"/>
          <w:lang w:val="ro-RO"/>
        </w:rPr>
        <w:t>Durata de prestare a serviciului</w:t>
      </w:r>
      <w:r w:rsidR="005E393C" w:rsidRPr="00FE31DF">
        <w:rPr>
          <w:sz w:val="22"/>
          <w:szCs w:val="22"/>
          <w:lang w:val="ro-RO"/>
        </w:rPr>
        <w:t xml:space="preserve"> de informare și publicitate începe din momentul emiterii Ordinului de începere a activităților contractului, ce va fi comunicat Prestatorului și se va încheia la data de </w:t>
      </w:r>
      <w:r w:rsidR="005E393C" w:rsidRPr="00FE31DF">
        <w:rPr>
          <w:b/>
          <w:sz w:val="22"/>
          <w:szCs w:val="22"/>
          <w:lang w:val="ro-RO"/>
        </w:rPr>
        <w:t>30.11.2022</w:t>
      </w:r>
      <w:r w:rsidR="005E393C" w:rsidRPr="00FE31DF">
        <w:rPr>
          <w:sz w:val="22"/>
          <w:szCs w:val="22"/>
          <w:lang w:val="ro-RO"/>
        </w:rPr>
        <w:t>, cu posibilitatea prelungirii acesteia.</w:t>
      </w:r>
    </w:p>
    <w:p w:rsidR="005E393C" w:rsidRPr="00FE31DF" w:rsidRDefault="003C6C2C" w:rsidP="00FE31DF">
      <w:pPr>
        <w:tabs>
          <w:tab w:val="left" w:pos="0"/>
        </w:tabs>
        <w:jc w:val="both"/>
        <w:rPr>
          <w:sz w:val="22"/>
          <w:szCs w:val="22"/>
          <w:lang w:val="ro-RO"/>
        </w:rPr>
      </w:pPr>
      <w:r w:rsidRPr="00FE31DF">
        <w:rPr>
          <w:sz w:val="22"/>
          <w:szCs w:val="22"/>
          <w:lang w:val="ro-RO"/>
        </w:rPr>
        <w:t>3.</w:t>
      </w:r>
      <w:r w:rsidR="005E393C" w:rsidRPr="00FE31DF">
        <w:rPr>
          <w:sz w:val="22"/>
          <w:szCs w:val="22"/>
          <w:lang w:val="ro-RO"/>
        </w:rPr>
        <w:t>2</w:t>
      </w:r>
      <w:r w:rsidRPr="00FE31DF">
        <w:rPr>
          <w:sz w:val="22"/>
          <w:szCs w:val="22"/>
          <w:lang w:val="ro-RO"/>
        </w:rPr>
        <w:t xml:space="preserve">. </w:t>
      </w:r>
      <w:r w:rsidR="005E393C" w:rsidRPr="00FE31DF">
        <w:rPr>
          <w:i/>
          <w:sz w:val="22"/>
          <w:szCs w:val="22"/>
          <w:lang w:val="ro-RO"/>
        </w:rPr>
        <w:t>Durata de valabilitate a contractului</w:t>
      </w:r>
      <w:r w:rsidR="005E393C" w:rsidRPr="00FE31DF">
        <w:rPr>
          <w:sz w:val="22"/>
          <w:szCs w:val="22"/>
          <w:lang w:val="ro-RO"/>
        </w:rPr>
        <w:t xml:space="preserve"> va începe odată cu semnarea contractului de către părți și se va încheia odată cu finalizarea implementării Proiectului de către Autoritatea Contractantă, respectiv 30.11.2022. Orice prelungire a duratei contractului de finanțare nr. 5054/28.01.2020, conduce automat la prelungirea duratei contractului de prestări servicii, prin act adițional la contract și nu va genera costuri suplimentare în sarcina autorității contractante.</w:t>
      </w:r>
    </w:p>
    <w:p w:rsidR="005E393C" w:rsidRPr="00FE31DF" w:rsidRDefault="005E393C" w:rsidP="00FE31DF">
      <w:pPr>
        <w:autoSpaceDE w:val="0"/>
        <w:autoSpaceDN w:val="0"/>
        <w:adjustRightInd w:val="0"/>
        <w:jc w:val="both"/>
        <w:rPr>
          <w:sz w:val="22"/>
          <w:szCs w:val="22"/>
          <w:lang w:val="ro-RO"/>
        </w:rPr>
      </w:pPr>
      <w:r w:rsidRPr="00FE31DF">
        <w:rPr>
          <w:sz w:val="22"/>
          <w:szCs w:val="22"/>
          <w:lang w:val="ro-RO"/>
        </w:rPr>
        <w:t>3.3. Prestatorul are obligația ca pe durata valabilității contractului de finanțare  și 5 ani de la data plății finale (aşa cum reiese din documentele depuse), sa fie la dispoziția oricăror instituții/ organisme aflate in misiuni de verificare si control, care se vor desfășura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FE31DF" w:rsidRDefault="00492827" w:rsidP="00FE31DF">
      <w:pPr>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lastRenderedPageBreak/>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lastRenderedPageBreak/>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t xml:space="preserve">     </w:t>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lastRenderedPageBreak/>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r w:rsidRPr="00441537">
        <w:rPr>
          <w:snapToGrid w:val="0"/>
          <w:sz w:val="22"/>
          <w:szCs w:val="22"/>
        </w:rPr>
        <w:t>sau</w:t>
      </w:r>
    </w:p>
    <w:p w:rsidR="00414076" w:rsidRPr="00441537" w:rsidRDefault="00414076" w:rsidP="0041407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14076" w:rsidRPr="00441537" w:rsidRDefault="00414076" w:rsidP="0041407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r w:rsidRPr="00FE31DF">
        <w:rPr>
          <w:sz w:val="22"/>
          <w:szCs w:val="22"/>
        </w:rPr>
        <w:t xml:space="preserve">este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lastRenderedPageBreak/>
        <w:t xml:space="preserve">12.1. </w:t>
      </w:r>
      <w:r w:rsidRPr="00FE31DF">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88485D" w:rsidRPr="00FE31DF" w:rsidRDefault="0088485D" w:rsidP="00FE31DF">
      <w:pPr>
        <w:jc w:val="both"/>
        <w:rPr>
          <w:snapToGrid w:val="0"/>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va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14. SANCȚIUNI PENTRU NEÎNDEPLINIREA CULPABILĂ A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lastRenderedPageBreak/>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r w:rsidRPr="00FE31DF">
        <w:rPr>
          <w:sz w:val="22"/>
          <w:szCs w:val="22"/>
        </w:rPr>
        <w:t xml:space="preserve"> </w:t>
      </w:r>
      <w:r w:rsidRPr="00FE31DF">
        <w:rPr>
          <w:rFonts w:eastAsia="Calibri"/>
          <w:sz w:val="22"/>
          <w:szCs w:val="22"/>
        </w:rPr>
        <w:t xml:space="preserve"> </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identificarea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w:t>
      </w:r>
      <w:r w:rsidRPr="00FE31DF">
        <w:rPr>
          <w:sz w:val="22"/>
          <w:szCs w:val="22"/>
          <w:shd w:val="clear" w:color="auto" w:fill="D9D9D9"/>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492827" w:rsidP="00FE31DF">
      <w:pPr>
        <w:numPr>
          <w:ilvl w:val="0"/>
          <w:numId w:val="17"/>
        </w:numPr>
        <w:tabs>
          <w:tab w:val="clear" w:pos="720"/>
        </w:tabs>
        <w:ind w:left="0" w:firstLine="76"/>
        <w:jc w:val="both"/>
        <w:rPr>
          <w:i/>
          <w:sz w:val="22"/>
          <w:szCs w:val="22"/>
        </w:rPr>
      </w:pPr>
      <w:r w:rsidRPr="00FE31DF">
        <w:rPr>
          <w:rFonts w:eastAsia="Calibri"/>
          <w:color w:val="000000"/>
          <w:sz w:val="22"/>
          <w:szCs w:val="22"/>
        </w:rPr>
        <w:t xml:space="preserve">decalarea unui </w:t>
      </w:r>
      <w:r w:rsidRPr="00FE31DF">
        <w:rPr>
          <w:rFonts w:eastAsia="Calibri"/>
          <w:i/>
          <w:color w:val="000000"/>
          <w:sz w:val="22"/>
          <w:szCs w:val="22"/>
        </w:rPr>
        <w:t>Punct de reper</w:t>
      </w:r>
      <w:r w:rsidRPr="00FE31DF">
        <w:rPr>
          <w:rFonts w:eastAsia="Calibri"/>
          <w:color w:val="000000"/>
          <w:sz w:val="22"/>
          <w:szCs w:val="22"/>
        </w:rPr>
        <w:t xml:space="preserve"> sau a unei activități din </w:t>
      </w:r>
      <w:r w:rsidRPr="00FE31DF">
        <w:rPr>
          <w:rFonts w:eastAsia="Calibri"/>
          <w:i/>
          <w:color w:val="000000"/>
          <w:sz w:val="22"/>
          <w:szCs w:val="22"/>
        </w:rPr>
        <w:t>Planul de lucru al activităților</w:t>
      </w:r>
      <w:r w:rsidRPr="00FE31DF">
        <w:rPr>
          <w:rFonts w:eastAsia="Calibri"/>
          <w:color w:val="000000"/>
          <w:sz w:val="22"/>
          <w:szCs w:val="22"/>
        </w:rPr>
        <w:t xml:space="preserve"> generată de condițiile și în limitele stipulate la clauzele 3.1 și 3.2. din prezentul </w:t>
      </w:r>
      <w:r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16.3.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ia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lastRenderedPageBreak/>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 xml:space="preserve">3.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w:t>
      </w:r>
      <w:r w:rsidRPr="00FE31DF">
        <w:rPr>
          <w:sz w:val="22"/>
          <w:szCs w:val="22"/>
          <w:lang w:val="es-ES"/>
        </w:rPr>
        <w:lastRenderedPageBreak/>
        <w:t>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1424"/>
        <w:gridCol w:w="3508"/>
        <w:gridCol w:w="428"/>
      </w:tblGrid>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Dragoș Chitic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gridSpan w:val="2"/>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Secretarul </w:t>
            </w:r>
            <w:r w:rsidR="00BD63E5" w:rsidRPr="00FE31DF">
              <w:rPr>
                <w:sz w:val="22"/>
                <w:szCs w:val="22"/>
              </w:rPr>
              <w:t xml:space="preserve">General al </w:t>
            </w:r>
            <w:r w:rsidRPr="00FE31DF">
              <w:rPr>
                <w:sz w:val="22"/>
                <w:szCs w:val="22"/>
              </w:rPr>
              <w:t>Municipiului,</w:t>
            </w:r>
          </w:p>
          <w:p w:rsidR="00132AE2" w:rsidRPr="00FE31DF" w:rsidRDefault="00132AE2" w:rsidP="00FE31DF">
            <w:pPr>
              <w:rPr>
                <w:sz w:val="22"/>
                <w:szCs w:val="22"/>
              </w:rPr>
            </w:pPr>
            <w:r w:rsidRPr="00FE31DF">
              <w:rPr>
                <w:sz w:val="22"/>
                <w:szCs w:val="22"/>
              </w:rPr>
              <w:t xml:space="preserve">                 </w:t>
            </w:r>
            <w:r w:rsidR="00492827" w:rsidRPr="00FE31DF">
              <w:rPr>
                <w:sz w:val="22"/>
                <w:szCs w:val="22"/>
              </w:rPr>
              <w:t>Oana Sârbu</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rPr>
                <w:sz w:val="22"/>
                <w:szCs w:val="22"/>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132AE2" w:rsidRPr="00FE31DF" w:rsidRDefault="00132AE2" w:rsidP="00FE31DF">
            <w:pPr>
              <w:rPr>
                <w:kern w:val="2"/>
                <w:sz w:val="22"/>
                <w:szCs w:val="22"/>
                <w:lang w:eastAsia="ar-SA"/>
              </w:rPr>
            </w:pPr>
            <w:r w:rsidRPr="00FE31DF">
              <w:rPr>
                <w:sz w:val="22"/>
                <w:szCs w:val="22"/>
              </w:rPr>
              <w:t xml:space="preserve">            Director  Economic,</w:t>
            </w:r>
          </w:p>
          <w:p w:rsidR="00132AE2" w:rsidRPr="00FE31DF" w:rsidRDefault="00132AE2" w:rsidP="00FE31DF">
            <w:pPr>
              <w:rPr>
                <w:sz w:val="22"/>
                <w:szCs w:val="22"/>
              </w:rPr>
            </w:pPr>
            <w:r w:rsidRPr="00FE31DF">
              <w:rPr>
                <w:sz w:val="22"/>
                <w:szCs w:val="22"/>
              </w:rPr>
              <w:t xml:space="preserve">                 Cătălina Hizan</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suppressAutoHyphens/>
              <w:rPr>
                <w:kern w:val="2"/>
                <w:sz w:val="22"/>
                <w:szCs w:val="22"/>
                <w:lang w:eastAsia="ar-SA"/>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492827" w:rsidRPr="00FE31DF" w:rsidRDefault="00132AE2" w:rsidP="00FE31DF">
            <w:pPr>
              <w:rPr>
                <w:color w:val="000000"/>
                <w:sz w:val="22"/>
                <w:szCs w:val="22"/>
              </w:rPr>
            </w:pPr>
            <w:r w:rsidRPr="00FE31DF">
              <w:rPr>
                <w:color w:val="000000"/>
                <w:sz w:val="22"/>
                <w:szCs w:val="22"/>
              </w:rPr>
              <w:t xml:space="preserve">    </w:t>
            </w:r>
            <w:r w:rsidR="00492827" w:rsidRPr="00FE31DF">
              <w:rPr>
                <w:color w:val="000000"/>
                <w:sz w:val="22"/>
                <w:szCs w:val="22"/>
              </w:rPr>
              <w:t>Direcția Dezvoltare și Implementare Programe</w:t>
            </w:r>
          </w:p>
          <w:p w:rsidR="00132AE2" w:rsidRPr="00FE31DF" w:rsidRDefault="00492827" w:rsidP="00FE31DF">
            <w:pPr>
              <w:rPr>
                <w:color w:val="000000"/>
                <w:sz w:val="22"/>
                <w:szCs w:val="22"/>
              </w:rPr>
            </w:pPr>
            <w:r w:rsidRPr="00FE31DF">
              <w:rPr>
                <w:color w:val="000000"/>
                <w:sz w:val="22"/>
                <w:szCs w:val="22"/>
              </w:rPr>
              <w:t xml:space="preserve">                  Olimpia Iuliana Adam</w:t>
            </w:r>
            <w:r w:rsidR="00132AE2" w:rsidRPr="00FE31DF">
              <w:rPr>
                <w:color w:val="000000"/>
                <w:sz w:val="22"/>
                <w:szCs w:val="22"/>
              </w:rPr>
              <w:t xml:space="preserve">         </w:t>
            </w:r>
          </w:p>
        </w:tc>
        <w:tc>
          <w:tcPr>
            <w:tcW w:w="4932" w:type="dxa"/>
            <w:gridSpan w:val="2"/>
          </w:tcPr>
          <w:p w:rsidR="00132AE2" w:rsidRPr="00FE31DF" w:rsidRDefault="00132AE2" w:rsidP="00FE31DF">
            <w:pPr>
              <w:jc w:val="center"/>
              <w:rPr>
                <w:color w:val="000000"/>
                <w:sz w:val="22"/>
                <w:szCs w:val="22"/>
              </w:rPr>
            </w:pPr>
          </w:p>
        </w:tc>
      </w:tr>
      <w:tr w:rsidR="00D311FB" w:rsidRPr="00FE31DF" w:rsidTr="00D311FB">
        <w:tc>
          <w:tcPr>
            <w:tcW w:w="6345" w:type="dxa"/>
            <w:gridSpan w:val="2"/>
          </w:tcPr>
          <w:tbl>
            <w:tblPr>
              <w:tblW w:w="6129" w:type="dxa"/>
              <w:tblLook w:val="01E0"/>
            </w:tblPr>
            <w:tblGrid>
              <w:gridCol w:w="6129"/>
            </w:tblGrid>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r w:rsidRPr="00FE31DF">
                    <w:rPr>
                      <w:color w:val="000000"/>
                      <w:sz w:val="22"/>
                      <w:szCs w:val="22"/>
                    </w:rPr>
                    <w:t xml:space="preserve">                        Viză CFP</w:t>
                  </w:r>
                </w:p>
              </w:tc>
            </w:tr>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p>
              </w:tc>
            </w:tr>
            <w:tr w:rsidR="00D311FB" w:rsidRPr="00FE31DF" w:rsidTr="00DB4828">
              <w:tc>
                <w:tcPr>
                  <w:tcW w:w="6129" w:type="dxa"/>
                </w:tcPr>
                <w:p w:rsidR="00D311FB" w:rsidRPr="00FE31DF" w:rsidRDefault="00D311FB" w:rsidP="00FE31DF">
                  <w:pPr>
                    <w:rPr>
                      <w:color w:val="000000"/>
                      <w:sz w:val="22"/>
                      <w:szCs w:val="22"/>
                    </w:rPr>
                  </w:pPr>
                  <w:r w:rsidRPr="00FE31DF">
                    <w:rPr>
                      <w:color w:val="000000"/>
                      <w:sz w:val="22"/>
                      <w:szCs w:val="22"/>
                    </w:rPr>
                    <w:t>Compartiment Juridic                         Întocmit</w:t>
                  </w:r>
                </w:p>
                <w:p w:rsidR="00D311FB" w:rsidRPr="00FE31DF" w:rsidRDefault="00D311FB" w:rsidP="00FE31DF">
                  <w:pPr>
                    <w:rPr>
                      <w:color w:val="000000"/>
                      <w:sz w:val="22"/>
                      <w:szCs w:val="22"/>
                    </w:rPr>
                  </w:pPr>
                  <w:r w:rsidRPr="00FE31DF">
                    <w:rPr>
                      <w:color w:val="000000"/>
                      <w:sz w:val="22"/>
                      <w:szCs w:val="22"/>
                    </w:rPr>
                    <w:t xml:space="preserve">                                              consilier  Carmen Irina Buliga</w:t>
                  </w:r>
                </w:p>
              </w:tc>
            </w:tr>
          </w:tbl>
          <w:p w:rsidR="00D311FB" w:rsidRPr="00FE31DF" w:rsidRDefault="00D311FB" w:rsidP="00FE31DF">
            <w:pPr>
              <w:rPr>
                <w:color w:val="000000"/>
                <w:sz w:val="22"/>
                <w:szCs w:val="22"/>
              </w:rPr>
            </w:pPr>
          </w:p>
        </w:tc>
        <w:tc>
          <w:tcPr>
            <w:tcW w:w="3936" w:type="dxa"/>
            <w:gridSpan w:val="2"/>
          </w:tcPr>
          <w:p w:rsidR="00D311FB" w:rsidRPr="00FE31DF" w:rsidRDefault="00D311FB" w:rsidP="00FE31DF">
            <w:pPr>
              <w:jc w:val="center"/>
              <w:rPr>
                <w:color w:val="000000"/>
                <w:sz w:val="22"/>
                <w:szCs w:val="22"/>
              </w:rPr>
            </w:pPr>
          </w:p>
          <w:p w:rsidR="00D311FB" w:rsidRPr="00FE31DF" w:rsidRDefault="00D311FB" w:rsidP="00FE31DF">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8C" w:rsidRDefault="00A83B8C">
      <w:r>
        <w:separator/>
      </w:r>
    </w:p>
  </w:endnote>
  <w:endnote w:type="continuationSeparator" w:id="0">
    <w:p w:rsidR="00A83B8C" w:rsidRDefault="00A8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8C" w:rsidRDefault="00A83B8C">
      <w:r>
        <w:separator/>
      </w:r>
    </w:p>
  </w:footnote>
  <w:footnote w:type="continuationSeparator" w:id="0">
    <w:p w:rsidR="00A83B8C" w:rsidRDefault="00A8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80DD2"/>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6A3F"/>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9</Pages>
  <Words>6670</Words>
  <Characters>38692</Characters>
  <Application>Microsoft Office Word</Application>
  <DocSecurity>0</DocSecurity>
  <Lines>322</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89</cp:revision>
  <cp:lastPrinted>2014-03-05T07:41:00Z</cp:lastPrinted>
  <dcterms:created xsi:type="dcterms:W3CDTF">2012-08-10T10:28:00Z</dcterms:created>
  <dcterms:modified xsi:type="dcterms:W3CDTF">2020-03-16T12:58:00Z</dcterms:modified>
</cp:coreProperties>
</file>