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.03.</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Nr________/____.03.201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6412DA" w:rsidRDefault="009F3CA4" w:rsidP="006412DA">
      <w:pPr>
        <w:autoSpaceDE w:val="0"/>
        <w:autoSpaceDN w:val="0"/>
        <w:adjustRightInd w:val="0"/>
        <w:rPr>
          <w:rFonts w:eastAsia="Batang"/>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6412DA">
        <w:rPr>
          <w:b/>
          <w:color w:val="000000"/>
        </w:rPr>
        <w:t>Service rețea semafoare în Municipiul Piatra Neamț</w:t>
      </w:r>
      <w:r w:rsidR="006412DA" w:rsidRPr="00970343">
        <w:rPr>
          <w:rFonts w:eastAsia="Batang"/>
        </w:rPr>
        <w:t xml:space="preserve">, </w:t>
      </w:r>
    </w:p>
    <w:p w:rsidR="009F3CA4" w:rsidRPr="00B06E95" w:rsidRDefault="006412DA" w:rsidP="006412DA">
      <w:pPr>
        <w:rPr>
          <w:sz w:val="22"/>
          <w:szCs w:val="22"/>
          <w:lang w:val="it-IT"/>
        </w:rPr>
      </w:pPr>
      <w:r w:rsidRPr="00970343">
        <w:rPr>
          <w:rFonts w:eastAsia="Batang"/>
        </w:rPr>
        <w:t>cod CPV :</w:t>
      </w:r>
      <w:r w:rsidRPr="00970343">
        <w:rPr>
          <w:b/>
          <w:i/>
          <w:spacing w:val="30"/>
        </w:rPr>
        <w:t xml:space="preserve"> </w:t>
      </w:r>
      <w:r w:rsidRPr="00D20714">
        <w:rPr>
          <w:rFonts w:eastAsia="Batang"/>
        </w:rPr>
        <w:t>50232200-2 servicii de întreținere a semafoarelor  (rev.2)</w:t>
      </w:r>
      <w:r>
        <w:rPr>
          <w:rFonts w:eastAsia="Batang"/>
        </w:rPr>
        <w:t xml:space="preserve">, </w:t>
      </w:r>
      <w:r w:rsidRPr="003624A5">
        <w:t xml:space="preserve"> </w:t>
      </w:r>
      <w:r w:rsidR="009F3CA4" w:rsidRPr="00B06E95">
        <w:rPr>
          <w:sz w:val="22"/>
          <w:szCs w:val="22"/>
          <w:lang w:val="it-IT"/>
        </w:rPr>
        <w:t>în perioad</w:t>
      </w:r>
      <w:r w:rsidR="000B6EA4" w:rsidRPr="00B06E95">
        <w:rPr>
          <w:sz w:val="22"/>
          <w:szCs w:val="22"/>
          <w:lang w:val="it-IT"/>
        </w:rPr>
        <w:t>a</w:t>
      </w:r>
      <w:r w:rsidR="009F3CA4" w:rsidRPr="00B06E95">
        <w:rPr>
          <w:sz w:val="22"/>
          <w:szCs w:val="22"/>
          <w:lang w:val="it-IT"/>
        </w:rPr>
        <w:t xml:space="preserve"> convenit</w:t>
      </w:r>
      <w:r w:rsidR="000B6EA4" w:rsidRPr="00B06E95">
        <w:rPr>
          <w:sz w:val="22"/>
          <w:szCs w:val="22"/>
          <w:lang w:val="it-IT"/>
        </w:rPr>
        <w:t>ă</w:t>
      </w:r>
      <w:r w:rsidR="009F3CA4"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6412DA" w:rsidRDefault="009F3CA4" w:rsidP="006412DA">
      <w:pPr>
        <w:autoSpaceDE w:val="0"/>
        <w:autoSpaceDN w:val="0"/>
        <w:adjustRightInd w:val="0"/>
        <w:rPr>
          <w:rFonts w:eastAsia="Batang"/>
        </w:rPr>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6412DA" w:rsidRPr="00B06E95">
        <w:rPr>
          <w:b/>
          <w:sz w:val="22"/>
          <w:szCs w:val="22"/>
          <w:lang w:val="it-IT"/>
        </w:rPr>
        <w:t>____ lei</w:t>
      </w:r>
      <w:r w:rsidR="006412DA" w:rsidRPr="00B06E95">
        <w:rPr>
          <w:sz w:val="22"/>
          <w:szCs w:val="22"/>
          <w:lang w:val="it-IT"/>
        </w:rPr>
        <w:t xml:space="preserve"> </w:t>
      </w:r>
      <w:r w:rsidR="006412DA" w:rsidRPr="00B06E95">
        <w:rPr>
          <w:b/>
          <w:sz w:val="22"/>
          <w:szCs w:val="22"/>
          <w:lang w:val="it-IT"/>
        </w:rPr>
        <w:t xml:space="preserve"> la care se adaugă T.V.A. de ____ lei</w:t>
      </w:r>
      <w:r w:rsidR="003B2BE8" w:rsidRPr="00B06E95">
        <w:rPr>
          <w:sz w:val="22"/>
          <w:szCs w:val="22"/>
          <w:lang w:val="it-IT"/>
        </w:rPr>
        <w:t xml:space="preserve">, </w:t>
      </w:r>
      <w:r w:rsidRPr="00B06E95">
        <w:rPr>
          <w:sz w:val="22"/>
          <w:szCs w:val="22"/>
          <w:lang w:val="it-IT"/>
        </w:rPr>
        <w:t xml:space="preserve">convenit pentru îndeplinirea contractului de </w:t>
      </w:r>
      <w:r w:rsidR="006412DA">
        <w:rPr>
          <w:b/>
          <w:color w:val="000000"/>
        </w:rPr>
        <w:t>Service rețea semafoare în Municipiul Piatra Neamț</w:t>
      </w:r>
      <w:r w:rsidR="006412DA" w:rsidRPr="00970343">
        <w:rPr>
          <w:rFonts w:eastAsia="Batang"/>
        </w:rPr>
        <w:t xml:space="preserve">, </w:t>
      </w:r>
    </w:p>
    <w:p w:rsidR="006412DA" w:rsidRDefault="006412DA" w:rsidP="006412DA">
      <w:pPr>
        <w:autoSpaceDE w:val="0"/>
        <w:autoSpaceDN w:val="0"/>
        <w:adjustRightInd w:val="0"/>
        <w:jc w:val="both"/>
      </w:pPr>
      <w:r w:rsidRPr="00970343">
        <w:rPr>
          <w:rFonts w:eastAsia="Batang"/>
        </w:rPr>
        <w:t>cod CPV :</w:t>
      </w:r>
      <w:r w:rsidRPr="00970343">
        <w:rPr>
          <w:b/>
          <w:i/>
          <w:spacing w:val="30"/>
        </w:rPr>
        <w:t xml:space="preserve"> </w:t>
      </w:r>
      <w:r w:rsidRPr="00D20714">
        <w:rPr>
          <w:rFonts w:eastAsia="Batang"/>
        </w:rPr>
        <w:t>50232200-2 servicii de întreținere a semafoarelor  (rev.2)</w:t>
      </w:r>
      <w:r>
        <w:rPr>
          <w:rFonts w:eastAsia="Batang"/>
        </w:rPr>
        <w:t xml:space="preserve">, </w:t>
      </w:r>
      <w:r w:rsidRPr="003624A5">
        <w:t xml:space="preserve"> </w:t>
      </w:r>
    </w:p>
    <w:p w:rsidR="006412DA" w:rsidRDefault="00C73937" w:rsidP="006412DA">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6412DA">
        <w:rPr>
          <w:b/>
          <w:sz w:val="22"/>
          <w:szCs w:val="22"/>
          <w:lang w:val="it-IT"/>
        </w:rPr>
        <w:t xml:space="preserve">, astfel : </w:t>
      </w:r>
    </w:p>
    <w:p w:rsidR="009F3CA4" w:rsidRDefault="006412DA" w:rsidP="006412DA">
      <w:pPr>
        <w:autoSpaceDE w:val="0"/>
        <w:autoSpaceDN w:val="0"/>
        <w:adjustRightInd w:val="0"/>
        <w:jc w:val="both"/>
        <w:rPr>
          <w:b/>
          <w:sz w:val="22"/>
          <w:szCs w:val="22"/>
          <w:lang w:val="it-IT"/>
        </w:rPr>
      </w:pPr>
      <w:r>
        <w:rPr>
          <w:b/>
          <w:sz w:val="22"/>
          <w:szCs w:val="22"/>
          <w:lang w:val="it-IT"/>
        </w:rPr>
        <w:t xml:space="preserve">- </w:t>
      </w:r>
      <w:r w:rsidR="00E716A2" w:rsidRPr="00B06E95">
        <w:rPr>
          <w:b/>
          <w:sz w:val="22"/>
          <w:szCs w:val="22"/>
          <w:lang w:val="it-IT"/>
        </w:rPr>
        <w:t xml:space="preserve"> </w:t>
      </w:r>
      <w:r>
        <w:rPr>
          <w:b/>
          <w:sz w:val="22"/>
          <w:szCs w:val="22"/>
          <w:lang w:val="it-IT"/>
        </w:rPr>
        <w:t xml:space="preserve">până la data de 31 decembrie 2015 - ____ luni = tarif lunar x nr. luni ; </w:t>
      </w:r>
    </w:p>
    <w:p w:rsidR="006412DA" w:rsidRPr="00B06E95" w:rsidRDefault="006412DA" w:rsidP="006412DA">
      <w:pPr>
        <w:autoSpaceDE w:val="0"/>
        <w:autoSpaceDN w:val="0"/>
        <w:adjustRightInd w:val="0"/>
        <w:jc w:val="both"/>
        <w:rPr>
          <w:b/>
          <w:sz w:val="22"/>
          <w:szCs w:val="22"/>
          <w:lang w:val="it-IT"/>
        </w:rPr>
      </w:pPr>
      <w:r>
        <w:rPr>
          <w:b/>
          <w:sz w:val="22"/>
          <w:szCs w:val="22"/>
          <w:lang w:val="it-IT"/>
        </w:rPr>
        <w:t>- maxim până la data de 30 aprilie 2016 = tarif lunar x maxim 4 luni</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CA4362" w:rsidRPr="006D3EE7" w:rsidRDefault="006A6FC4" w:rsidP="00CA4362">
      <w:pPr>
        <w:rPr>
          <w:sz w:val="22"/>
          <w:szCs w:val="22"/>
        </w:rPr>
      </w:pPr>
      <w:r w:rsidRPr="00B06E95">
        <w:rPr>
          <w:sz w:val="22"/>
          <w:szCs w:val="22"/>
          <w:lang w:val="it-IT"/>
        </w:rPr>
        <w:t xml:space="preserve">5.1 – Durata prezentului contract </w:t>
      </w:r>
      <w:r w:rsidR="008D0D89" w:rsidRPr="00B06E95">
        <w:rPr>
          <w:sz w:val="22"/>
          <w:szCs w:val="22"/>
          <w:lang w:val="it-IT"/>
        </w:rPr>
        <w:t xml:space="preserve">este </w:t>
      </w:r>
      <w:r w:rsidR="00B06E95" w:rsidRPr="00B06E95">
        <w:rPr>
          <w:sz w:val="22"/>
          <w:szCs w:val="22"/>
        </w:rPr>
        <w:t>de la data semnării lui de ambele părți</w:t>
      </w:r>
      <w:r w:rsidR="00CA4362">
        <w:rPr>
          <w:sz w:val="22"/>
          <w:szCs w:val="22"/>
        </w:rPr>
        <w:t>, până în data de 31 decembrie 2015</w:t>
      </w:r>
      <w:r w:rsidR="00B06E95" w:rsidRPr="00B06E95">
        <w:rPr>
          <w:sz w:val="22"/>
          <w:szCs w:val="22"/>
        </w:rPr>
        <w:t xml:space="preserve">, </w:t>
      </w:r>
      <w:r w:rsidR="00AA4307" w:rsidRPr="00B06E95">
        <w:rPr>
          <w:sz w:val="22"/>
          <w:szCs w:val="22"/>
        </w:rPr>
        <w:t xml:space="preserve">cu posibilitatea prelungirii, </w:t>
      </w:r>
      <w:r w:rsidR="00CA4362" w:rsidRPr="006D3EE7">
        <w:rPr>
          <w:sz w:val="22"/>
          <w:szCs w:val="22"/>
          <w:lang w:val="it-IT"/>
        </w:rPr>
        <w:t>până în data de 30 aprilie 201</w:t>
      </w:r>
      <w:r w:rsidR="00CA4362">
        <w:rPr>
          <w:sz w:val="22"/>
          <w:szCs w:val="22"/>
          <w:lang w:val="it-IT"/>
        </w:rPr>
        <w:t>6</w:t>
      </w:r>
      <w:r w:rsidR="00CA4362" w:rsidRPr="006D3EE7">
        <w:rPr>
          <w:sz w:val="22"/>
          <w:szCs w:val="22"/>
          <w:lang w:val="it-IT"/>
        </w:rPr>
        <w:t xml:space="preserve">, conform art. </w:t>
      </w:r>
      <w:r w:rsidR="00CA4362" w:rsidRPr="006D3EE7">
        <w:rPr>
          <w:sz w:val="22"/>
          <w:szCs w:val="22"/>
        </w:rPr>
        <w:t>6, alin. 3 din H.G.R. nr. 925/2006.</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w:t>
      </w:r>
      <w:r w:rsidR="00E24D76">
        <w:rPr>
          <w:sz w:val="22"/>
          <w:szCs w:val="22"/>
          <w:lang w:val="ro-RO"/>
        </w:rPr>
        <w:t xml:space="preserve"> </w:t>
      </w:r>
      <w:r w:rsidRPr="00B06E95">
        <w:rPr>
          <w:sz w:val="22"/>
          <w:szCs w:val="22"/>
          <w:lang w:val="ro-RO"/>
        </w:rPr>
        <w:t xml:space="preserve">- Prestatorul se obligă să presteze serviciile la standardele şi/sau performanţele </w:t>
      </w:r>
      <w:r w:rsidR="00E24D76">
        <w:rPr>
          <w:sz w:val="22"/>
          <w:szCs w:val="22"/>
          <w:lang w:val="ro-RO"/>
        </w:rPr>
        <w:t>solicitate prin documentația de atribuire</w:t>
      </w:r>
      <w:r w:rsidRPr="00B06E95">
        <w:rPr>
          <w:sz w:val="22"/>
          <w:szCs w:val="22"/>
          <w:lang w:val="ro-RO"/>
        </w:rPr>
        <w:t>, anexă la contract.</w:t>
      </w:r>
      <w:r w:rsidRPr="00B06E95">
        <w:rPr>
          <w:b/>
          <w:sz w:val="22"/>
          <w:szCs w:val="22"/>
          <w:lang w:val="ro-RO"/>
        </w:rPr>
        <w:t xml:space="preserve"> </w:t>
      </w:r>
    </w:p>
    <w:p w:rsidR="009F3CA4" w:rsidRDefault="009F3CA4" w:rsidP="009F3CA4">
      <w:pPr>
        <w:pStyle w:val="DefaultText"/>
        <w:jc w:val="both"/>
        <w:rPr>
          <w:sz w:val="22"/>
          <w:szCs w:val="22"/>
          <w:lang w:val="ro-RO"/>
        </w:rPr>
      </w:pPr>
      <w:r w:rsidRPr="00B06E95">
        <w:rPr>
          <w:sz w:val="22"/>
          <w:szCs w:val="22"/>
          <w:lang w:val="ro-RO"/>
        </w:rPr>
        <w:t xml:space="preserve">7.3 - Prestatorul se obligă să presteze serviciile în conformitate cu </w:t>
      </w:r>
      <w:r w:rsidR="00E24D76">
        <w:rPr>
          <w:sz w:val="22"/>
          <w:szCs w:val="22"/>
          <w:lang w:val="ro-RO"/>
        </w:rPr>
        <w:t>cerințele cxaietului de sarcini, astfel :</w:t>
      </w:r>
    </w:p>
    <w:p w:rsidR="00E24D76" w:rsidRPr="001C5D1B" w:rsidRDefault="00E24D76" w:rsidP="00E24D76">
      <w:pPr>
        <w:rPr>
          <w:lang w:val="it-IT"/>
        </w:rPr>
      </w:pPr>
      <w:r>
        <w:rPr>
          <w:lang w:val="it-IT"/>
        </w:rPr>
        <w:t xml:space="preserve">- </w:t>
      </w:r>
      <w:r w:rsidRPr="001C5D1B">
        <w:rPr>
          <w:lang w:val="it-IT"/>
        </w:rPr>
        <w:t>sa intocmeasca rapoarte lunare de service, pe care le</w:t>
      </w:r>
      <w:r>
        <w:rPr>
          <w:lang w:val="it-IT"/>
        </w:rPr>
        <w:t xml:space="preserve"> va prezenta la  Serviciul Investitii si Gospodarie Comunala  din cadrul</w:t>
      </w:r>
      <w:r w:rsidRPr="001C5D1B">
        <w:rPr>
          <w:lang w:val="it-IT"/>
        </w:rPr>
        <w:t xml:space="preserve"> Primariei, pentru confirmare;</w:t>
      </w:r>
    </w:p>
    <w:p w:rsidR="00E24D76" w:rsidRPr="001C5D1B" w:rsidRDefault="00E24D76" w:rsidP="00E24D76">
      <w:pPr>
        <w:rPr>
          <w:lang w:val="it-IT"/>
        </w:rPr>
      </w:pPr>
      <w:r>
        <w:rPr>
          <w:lang w:val="it-IT"/>
        </w:rPr>
        <w:t xml:space="preserve">- </w:t>
      </w:r>
      <w:r w:rsidRPr="001C5D1B">
        <w:rPr>
          <w:lang w:val="it-IT"/>
        </w:rPr>
        <w:t xml:space="preserve">sa informeze in scris </w:t>
      </w:r>
      <w:r>
        <w:rPr>
          <w:lang w:val="it-IT"/>
        </w:rPr>
        <w:t>Serviciul Gospodarie Comunala si Investitii din cadrul</w:t>
      </w:r>
      <w:r w:rsidRPr="001C5D1B">
        <w:rPr>
          <w:lang w:val="it-IT"/>
        </w:rPr>
        <w:t xml:space="preserve"> Primariei, asupra cauzelor constatate sau presupuse a intreruperilor si a diferitelor tipuri de defectiuni tehnice aparute accidental in timpul functionarii semafoarelor; </w:t>
      </w:r>
    </w:p>
    <w:p w:rsidR="00E24D76" w:rsidRPr="001C5D1B" w:rsidRDefault="00E24D76" w:rsidP="00E24D76">
      <w:pPr>
        <w:rPr>
          <w:lang w:val="it-IT"/>
        </w:rPr>
      </w:pPr>
      <w:r>
        <w:rPr>
          <w:lang w:val="it-IT"/>
        </w:rPr>
        <w:t xml:space="preserve">- </w:t>
      </w:r>
      <w:r w:rsidRPr="001C5D1B">
        <w:rPr>
          <w:lang w:val="it-IT"/>
        </w:rPr>
        <w:t>sa-si planifice perioadele de executie a lucrarilor de intretinere – reparatii la                dulapurile cu aparatura, cable electrice, semafoare, etc., astfel incit deranjamentele de functionare sa fie minime;</w:t>
      </w:r>
    </w:p>
    <w:p w:rsidR="00E24D76" w:rsidRDefault="00E24D76" w:rsidP="00E24D76">
      <w:pPr>
        <w:rPr>
          <w:lang w:val="ro-RO"/>
        </w:rPr>
      </w:pPr>
      <w:r>
        <w:rPr>
          <w:lang w:val="ro-RO"/>
        </w:rPr>
        <w:t xml:space="preserve">   - sa informeze beneficiarul despre orice modificare intervenita in structura retelei ( extinderi, scoateri din functiune) si sa opereze in planurile tehnice .</w:t>
      </w:r>
    </w:p>
    <w:p w:rsidR="00E24D76" w:rsidRDefault="00E24D76" w:rsidP="00E24D76">
      <w:pPr>
        <w:rPr>
          <w:lang w:val="ro-RO"/>
        </w:rPr>
      </w:pPr>
      <w:r>
        <w:rPr>
          <w:lang w:val="ro-RO"/>
        </w:rPr>
        <w:t xml:space="preserve">    - sa predea beneficiarului toate planurile tehnice (actualizate), carti tehnice pentru echipamentele noi, parole de acces, soft-uri la incheierea contractului, la semnarea procesului verbal de predare-primire a retelei.</w:t>
      </w:r>
    </w:p>
    <w:p w:rsidR="00E24D76" w:rsidRPr="001C5D1B" w:rsidRDefault="00E24D76" w:rsidP="00E24D76">
      <w:pPr>
        <w:ind w:left="540" w:hanging="540"/>
        <w:rPr>
          <w:lang w:val="pt-BR"/>
        </w:rPr>
      </w:pPr>
      <w:r>
        <w:rPr>
          <w:lang w:val="pt-BR"/>
        </w:rPr>
        <w:t>7.4 –</w:t>
      </w:r>
      <w:r w:rsidRPr="001C5D1B">
        <w:rPr>
          <w:lang w:val="pt-BR"/>
        </w:rPr>
        <w:t xml:space="preserve"> </w:t>
      </w:r>
      <w:r>
        <w:rPr>
          <w:lang w:val="pt-BR"/>
        </w:rPr>
        <w:t>L</w:t>
      </w:r>
      <w:r w:rsidRPr="001C5D1B">
        <w:rPr>
          <w:lang w:val="pt-BR"/>
        </w:rPr>
        <w:t>unar</w:t>
      </w:r>
      <w:r>
        <w:rPr>
          <w:lang w:val="pt-BR"/>
        </w:rPr>
        <w:t xml:space="preserve">, prestatorul </w:t>
      </w:r>
      <w:r w:rsidRPr="001C5D1B">
        <w:rPr>
          <w:lang w:val="pt-BR"/>
        </w:rPr>
        <w:t xml:space="preserve"> va executa urmatoarele operatiuni:</w:t>
      </w:r>
    </w:p>
    <w:p w:rsidR="00E24D76" w:rsidRPr="001C5D1B" w:rsidRDefault="00E24D76" w:rsidP="00E24D76">
      <w:pPr>
        <w:rPr>
          <w:lang w:val="pt-BR"/>
        </w:rPr>
      </w:pPr>
      <w:r w:rsidRPr="001C5D1B">
        <w:rPr>
          <w:lang w:val="pt-BR"/>
        </w:rPr>
        <w:t>-executa verificari asupra dulapului EMCS in care se gaseste partea electronica pentru comanda semafoarelor din intersectie;</w:t>
      </w:r>
    </w:p>
    <w:p w:rsidR="00E24D76" w:rsidRPr="001C5D1B" w:rsidRDefault="00E24D76" w:rsidP="00E24D76">
      <w:pPr>
        <w:rPr>
          <w:lang w:val="pt-BR"/>
        </w:rPr>
      </w:pPr>
      <w:r w:rsidRPr="001C5D1B">
        <w:rPr>
          <w:lang w:val="pt-BR"/>
        </w:rPr>
        <w:t>-executa masuratori asupra tensiunilor de alimentare a placilor electronice existente in automat;</w:t>
      </w:r>
    </w:p>
    <w:p w:rsidR="00E24D76" w:rsidRPr="001C5D1B" w:rsidRDefault="00E24D76" w:rsidP="00E24D76">
      <w:pPr>
        <w:ind w:left="1170" w:hanging="1170"/>
        <w:rPr>
          <w:lang w:val="pt-BR"/>
        </w:rPr>
      </w:pPr>
      <w:r w:rsidRPr="001C5D1B">
        <w:rPr>
          <w:lang w:val="pt-BR"/>
        </w:rPr>
        <w:t>-verifica cu laptop-ul programul de functionare pe timp de zi si pe timp de noapte din intersectie;</w:t>
      </w:r>
    </w:p>
    <w:p w:rsidR="00E24D76" w:rsidRDefault="00E24D76" w:rsidP="00E24D76">
      <w:r>
        <w:t>-verifica cu laptop-ul timpii de aprindere si de corelare a semafoarelor din fiecare intersectie;</w:t>
      </w:r>
    </w:p>
    <w:p w:rsidR="00E24D76" w:rsidRDefault="00E24D76" w:rsidP="00E24D76">
      <w:r>
        <w:t>-verifica cu laptop-ul programul de protectie la aprinderi accidentale antagoniste;</w:t>
      </w:r>
    </w:p>
    <w:p w:rsidR="00E24D76" w:rsidRDefault="00E24D76" w:rsidP="00E24D76">
      <w:r>
        <w:t>-verifica functionarea corecta a semafoarelor din intersectie ;</w:t>
      </w:r>
    </w:p>
    <w:p w:rsidR="00E24D76" w:rsidRDefault="00E24D76" w:rsidP="00E24D76">
      <w:pPr>
        <w:ind w:left="1170" w:hanging="1170"/>
      </w:pPr>
      <w:r>
        <w:t>-verifica functionarea corecta a contorilor de timpi din intersectie;</w:t>
      </w:r>
    </w:p>
    <w:p w:rsidR="00E24D76" w:rsidRDefault="00E24D76" w:rsidP="00E24D76">
      <w:pPr>
        <w:ind w:left="1170" w:hanging="1170"/>
      </w:pPr>
      <w:r>
        <w:t>-verifica programul de corelare in “unda verde” a intersectiei cu celelalte intersectii;</w:t>
      </w:r>
    </w:p>
    <w:p w:rsidR="00E24D76" w:rsidRPr="001C5D1B" w:rsidRDefault="00E24D76" w:rsidP="00E24D76">
      <w:pPr>
        <w:ind w:left="1170" w:hanging="1170"/>
        <w:rPr>
          <w:lang w:val="it-IT"/>
        </w:rPr>
      </w:pPr>
      <w:r w:rsidRPr="001C5D1B">
        <w:rPr>
          <w:lang w:val="it-IT"/>
        </w:rPr>
        <w:t>-efectueaza operatiuni de stergere si curatire a semafoarelor din intersectie;</w:t>
      </w:r>
    </w:p>
    <w:p w:rsidR="00E24D76" w:rsidRDefault="00E24D76" w:rsidP="00E24D76">
      <w:pPr>
        <w:ind w:left="1170" w:hanging="1170"/>
      </w:pPr>
      <w:r>
        <w:t>-verifica modulul protector 485;</w:t>
      </w:r>
    </w:p>
    <w:p w:rsidR="00E24D76" w:rsidRPr="001C5D1B" w:rsidRDefault="00E24D76" w:rsidP="00E24D76">
      <w:pPr>
        <w:ind w:left="1170" w:hanging="1170"/>
        <w:rPr>
          <w:lang w:val="it-IT"/>
        </w:rPr>
      </w:pPr>
      <w:r>
        <w:rPr>
          <w:lang w:val="it-IT"/>
        </w:rPr>
        <w:t>-</w:t>
      </w:r>
      <w:r w:rsidRPr="001C5D1B">
        <w:rPr>
          <w:lang w:val="it-IT"/>
        </w:rPr>
        <w:t>verifica data si ora programului de rulare;</w:t>
      </w:r>
    </w:p>
    <w:p w:rsidR="00E24D76" w:rsidRPr="001C5D1B" w:rsidRDefault="00E24D76" w:rsidP="00E24D76">
      <w:pPr>
        <w:ind w:left="1170" w:hanging="1170"/>
        <w:rPr>
          <w:lang w:val="pt-BR"/>
        </w:rPr>
      </w:pPr>
      <w:r w:rsidRPr="001C5D1B">
        <w:rPr>
          <w:lang w:val="pt-BR"/>
        </w:rPr>
        <w:t>-executa masuratori asupra detectorilor de prezenta din asfalt;</w:t>
      </w:r>
    </w:p>
    <w:p w:rsidR="00E24D76" w:rsidRPr="001C5D1B" w:rsidRDefault="00E24D76" w:rsidP="00E24D76">
      <w:pPr>
        <w:ind w:left="1170" w:hanging="1170"/>
        <w:rPr>
          <w:lang w:val="it-IT"/>
        </w:rPr>
      </w:pPr>
      <w:r w:rsidRPr="001C5D1B">
        <w:rPr>
          <w:lang w:val="it-IT"/>
        </w:rPr>
        <w:t xml:space="preserve">-verifica LED-urile, becurile si duliile acestora la semafoarele din intersectii </w:t>
      </w:r>
    </w:p>
    <w:p w:rsidR="00E24D76" w:rsidRDefault="00E24D76" w:rsidP="00E24D76">
      <w:pPr>
        <w:pStyle w:val="Indentcorptext"/>
        <w:ind w:left="0"/>
      </w:pPr>
      <w:r>
        <w:t>-  in cazul defectarii modulelor sau a subansamblurilor electronice din automatul care  comanda semaforizarea, acestea se vor repara sau inlocui, dupa caz;</w:t>
      </w:r>
    </w:p>
    <w:p w:rsidR="00E24D76" w:rsidRPr="001C5D1B" w:rsidRDefault="00E24D76" w:rsidP="00E24D76">
      <w:pPr>
        <w:rPr>
          <w:lang w:val="it-IT"/>
        </w:rPr>
      </w:pPr>
      <w:r w:rsidRPr="001C5D1B">
        <w:rPr>
          <w:lang w:val="it-IT"/>
        </w:rPr>
        <w:t>-  pentru remedierile constatate cu ocazia controalelor proprii, respectiv cele care le va semnala reprezentantul</w:t>
      </w:r>
      <w:r>
        <w:rPr>
          <w:lang w:val="it-IT"/>
        </w:rPr>
        <w:t xml:space="preserve">ui de la </w:t>
      </w:r>
      <w:r w:rsidRPr="004A6B96">
        <w:rPr>
          <w:lang w:val="it-IT"/>
        </w:rPr>
        <w:t xml:space="preserve"> </w:t>
      </w:r>
      <w:r>
        <w:rPr>
          <w:lang w:val="it-IT"/>
        </w:rPr>
        <w:t>Serviciul Gospodarie Comunala si Investitii din cadrul</w:t>
      </w:r>
      <w:r w:rsidRPr="001C5D1B">
        <w:rPr>
          <w:lang w:val="it-IT"/>
        </w:rPr>
        <w:t xml:space="preserve"> Primariei,, va interveni in maximum 30 minute;</w:t>
      </w:r>
    </w:p>
    <w:p w:rsidR="00E24D76" w:rsidRPr="001C5D1B" w:rsidRDefault="00E24D76" w:rsidP="00E24D76">
      <w:pPr>
        <w:rPr>
          <w:lang w:val="it-IT"/>
        </w:rPr>
      </w:pPr>
      <w:r w:rsidRPr="001C5D1B">
        <w:rPr>
          <w:lang w:val="it-IT"/>
        </w:rPr>
        <w:t>-  va stringe date din intersectii si va face studii de optimizare a programelor de functionare al semafoarelor pentru a fluidiza circulatia rutiera care este in continua schimbare, datorata cresterii numarului de autovehicule;</w:t>
      </w:r>
    </w:p>
    <w:p w:rsidR="00E24D76" w:rsidRPr="001C5D1B" w:rsidRDefault="00E24D76" w:rsidP="00E24D76">
      <w:pPr>
        <w:rPr>
          <w:lang w:val="it-IT"/>
        </w:rPr>
      </w:pPr>
      <w:r w:rsidRPr="001C5D1B">
        <w:rPr>
          <w:lang w:val="it-IT"/>
        </w:rPr>
        <w:t>-  rezultatul studiilor, impreuna cu propunerile care se impun, le va inai</w:t>
      </w:r>
      <w:r>
        <w:rPr>
          <w:lang w:val="it-IT"/>
        </w:rPr>
        <w:t>nta in scris la Serviciul Investitii si Gospodarie Comunala  din cadrul Primariei</w:t>
      </w:r>
      <w:r w:rsidRPr="001C5D1B">
        <w:rPr>
          <w:lang w:val="it-IT"/>
        </w:rPr>
        <w:t>, pentru a fi promovate in sedintele comisiei rutiere, pentru aprobare si implementare.</w:t>
      </w:r>
    </w:p>
    <w:p w:rsidR="00E24D76" w:rsidRPr="00B06E95" w:rsidRDefault="00E24D76" w:rsidP="009F3CA4">
      <w:pPr>
        <w:pStyle w:val="DefaultText"/>
        <w:jc w:val="both"/>
        <w:rPr>
          <w:sz w:val="22"/>
          <w:szCs w:val="22"/>
          <w:lang w:val="ro-RO"/>
        </w:rPr>
      </w:pP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E24D76" w:rsidRDefault="00E24D76" w:rsidP="009F3CA4">
      <w:pPr>
        <w:pStyle w:val="DefaultText"/>
        <w:jc w:val="both"/>
        <w:rPr>
          <w:b/>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lastRenderedPageBreak/>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r w:rsidR="006412DA">
        <w:rPr>
          <w:b/>
          <w:i/>
          <w:sz w:val="22"/>
          <w:szCs w:val="22"/>
          <w:lang w:val="ro-RO"/>
        </w:rPr>
        <w:t>nesolicitată</w:t>
      </w:r>
    </w:p>
    <w:p w:rsidR="009F3CA4" w:rsidRPr="00B06E95" w:rsidRDefault="009F3CA4" w:rsidP="009F3CA4">
      <w:pPr>
        <w:pStyle w:val="DefaultText"/>
        <w:jc w:val="both"/>
        <w:rPr>
          <w:b/>
          <w:i/>
          <w:sz w:val="22"/>
          <w:szCs w:val="22"/>
          <w:lang w:val="it-IT"/>
        </w:rPr>
      </w:pP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lastRenderedPageBreak/>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lastRenderedPageBreak/>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6412DA">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6412DA">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Default="009E4238" w:rsidP="00BC2A1A">
            <w:pPr>
              <w:jc w:val="center"/>
              <w:rPr>
                <w:color w:val="000000"/>
                <w:sz w:val="22"/>
                <w:szCs w:val="22"/>
              </w:rPr>
            </w:pPr>
          </w:p>
          <w:p w:rsidR="00E24D76" w:rsidRPr="00B06E95" w:rsidRDefault="00E24D76"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CB64C9" w:rsidRPr="00B06E95" w:rsidTr="00ED6445">
              <w:tc>
                <w:tcPr>
                  <w:tcW w:w="4921" w:type="dxa"/>
                </w:tcPr>
                <w:p w:rsidR="005C2B2A" w:rsidRDefault="00E24D76" w:rsidP="005C2B2A">
                  <w:pPr>
                    <w:rPr>
                      <w:color w:val="000000"/>
                      <w:sz w:val="22"/>
                      <w:szCs w:val="22"/>
                      <w:lang w:val="ro-RO"/>
                    </w:rPr>
                  </w:pPr>
                  <w:r>
                    <w:rPr>
                      <w:color w:val="000000"/>
                      <w:sz w:val="22"/>
                      <w:szCs w:val="22"/>
                      <w:lang w:val="ro-RO"/>
                    </w:rPr>
                    <w:t>Serv. Gospodărie Comunală și Investiții</w:t>
                  </w:r>
                </w:p>
                <w:p w:rsidR="00E24D76" w:rsidRPr="00B06E95" w:rsidRDefault="00E24D76" w:rsidP="005C2B2A">
                  <w:pPr>
                    <w:rPr>
                      <w:color w:val="000000"/>
                      <w:sz w:val="22"/>
                      <w:szCs w:val="22"/>
                      <w:lang w:val="ro-RO"/>
                    </w:rPr>
                  </w:pPr>
                  <w:r>
                    <w:rPr>
                      <w:color w:val="000000"/>
                      <w:sz w:val="22"/>
                      <w:szCs w:val="22"/>
                      <w:lang w:val="ro-RO"/>
                    </w:rPr>
                    <w:t xml:space="preserve">     Marina Gavril            Marcel Macovei</w:t>
                  </w:r>
                </w:p>
                <w:p w:rsidR="00CB64C9" w:rsidRPr="00B06E95" w:rsidRDefault="00CB64C9" w:rsidP="00ED6445">
                  <w:pPr>
                    <w:jc w:val="center"/>
                    <w:rPr>
                      <w:color w:val="000000"/>
                      <w:sz w:val="22"/>
                      <w:szCs w:val="22"/>
                      <w:lang w:val="ro-RO"/>
                    </w:rPr>
                  </w:pPr>
                </w:p>
                <w:p w:rsidR="00CB64C9" w:rsidRDefault="00CB64C9" w:rsidP="00B06E95">
                  <w:pPr>
                    <w:rPr>
                      <w:color w:val="000000"/>
                      <w:sz w:val="22"/>
                      <w:szCs w:val="22"/>
                      <w:lang w:val="ro-RO"/>
                    </w:rPr>
                  </w:pPr>
                </w:p>
                <w:p w:rsidR="00E24D76" w:rsidRPr="00B06E95" w:rsidRDefault="00E24D76" w:rsidP="00B06E95">
                  <w:pP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Contencios şi Juridic,</w:t>
                  </w:r>
                </w:p>
                <w:p w:rsidR="00CB64C9" w:rsidRPr="00B06E95" w:rsidRDefault="00CB64C9" w:rsidP="00B06E95">
                  <w:pPr>
                    <w:rPr>
                      <w:color w:val="000000"/>
                      <w:sz w:val="22"/>
                      <w:szCs w:val="22"/>
                      <w:lang w:val="ro-RO"/>
                    </w:rPr>
                  </w:pPr>
                </w:p>
                <w:p w:rsidR="00CB64C9" w:rsidRDefault="00CB64C9" w:rsidP="00ED6445">
                  <w:pPr>
                    <w:jc w:val="center"/>
                    <w:rPr>
                      <w:color w:val="000000"/>
                      <w:sz w:val="22"/>
                      <w:szCs w:val="22"/>
                      <w:lang w:val="ro-RO"/>
                    </w:rPr>
                  </w:pPr>
                </w:p>
                <w:p w:rsidR="00E24D76" w:rsidRPr="00B06E95" w:rsidRDefault="00E24D76" w:rsidP="00ED6445">
                  <w:pPr>
                    <w:jc w:val="cente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Achizitii Publice,</w:t>
                  </w:r>
                </w:p>
                <w:p w:rsidR="00CB64C9" w:rsidRPr="00B06E95" w:rsidRDefault="00CB64C9" w:rsidP="00ED6445">
                  <w:pPr>
                    <w:jc w:val="center"/>
                    <w:rPr>
                      <w:color w:val="000000"/>
                      <w:sz w:val="22"/>
                      <w:szCs w:val="22"/>
                      <w:lang w:val="ro-RO"/>
                    </w:rPr>
                  </w:pPr>
                  <w:r w:rsidRPr="00B06E95">
                    <w:rPr>
                      <w:color w:val="000000"/>
                      <w:sz w:val="22"/>
                      <w:szCs w:val="22"/>
                      <w:lang w:val="ro-RO"/>
                    </w:rPr>
                    <w:t>Carmen Buliga</w:t>
                  </w:r>
                </w:p>
                <w:p w:rsidR="00CB64C9" w:rsidRPr="00B06E95" w:rsidRDefault="00CB64C9" w:rsidP="00ED6445">
                  <w:pPr>
                    <w:jc w:val="center"/>
                    <w:rPr>
                      <w:color w:val="000000"/>
                      <w:sz w:val="22"/>
                      <w:szCs w:val="22"/>
                      <w:lang w:val="ro-RO"/>
                    </w:rPr>
                  </w:pPr>
                </w:p>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1C" w:rsidRDefault="00EF001C">
      <w:r>
        <w:separator/>
      </w:r>
    </w:p>
  </w:endnote>
  <w:endnote w:type="continuationSeparator" w:id="0">
    <w:p w:rsidR="00EF001C" w:rsidRDefault="00EF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1C" w:rsidRDefault="00EF001C">
      <w:r>
        <w:separator/>
      </w:r>
    </w:p>
  </w:footnote>
  <w:footnote w:type="continuationSeparator" w:id="0">
    <w:p w:rsidR="00EF001C" w:rsidRDefault="00EF001C">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2A6A"/>
    <w:rsid w:val="0034744B"/>
    <w:rsid w:val="00355680"/>
    <w:rsid w:val="00356B8D"/>
    <w:rsid w:val="003A77AB"/>
    <w:rsid w:val="003B2BE8"/>
    <w:rsid w:val="003C02B9"/>
    <w:rsid w:val="004173C4"/>
    <w:rsid w:val="004520DB"/>
    <w:rsid w:val="00464942"/>
    <w:rsid w:val="004653DA"/>
    <w:rsid w:val="00472264"/>
    <w:rsid w:val="00495A73"/>
    <w:rsid w:val="004A2287"/>
    <w:rsid w:val="004B62F6"/>
    <w:rsid w:val="005A7CC2"/>
    <w:rsid w:val="005C2B2A"/>
    <w:rsid w:val="005F4F3F"/>
    <w:rsid w:val="00601F87"/>
    <w:rsid w:val="006117ED"/>
    <w:rsid w:val="00612FD4"/>
    <w:rsid w:val="00616EFD"/>
    <w:rsid w:val="006412DA"/>
    <w:rsid w:val="00677FA5"/>
    <w:rsid w:val="006A6FC4"/>
    <w:rsid w:val="006B39D2"/>
    <w:rsid w:val="006B5B9B"/>
    <w:rsid w:val="006C3D33"/>
    <w:rsid w:val="007143C2"/>
    <w:rsid w:val="00720511"/>
    <w:rsid w:val="00721CC1"/>
    <w:rsid w:val="00743048"/>
    <w:rsid w:val="00765011"/>
    <w:rsid w:val="00781DF4"/>
    <w:rsid w:val="00784FC4"/>
    <w:rsid w:val="008149BD"/>
    <w:rsid w:val="00836612"/>
    <w:rsid w:val="00866CB5"/>
    <w:rsid w:val="0087004A"/>
    <w:rsid w:val="00881C01"/>
    <w:rsid w:val="008845B2"/>
    <w:rsid w:val="00886EBA"/>
    <w:rsid w:val="008C5EC8"/>
    <w:rsid w:val="008D0D89"/>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73937"/>
    <w:rsid w:val="00C82FE4"/>
    <w:rsid w:val="00C94175"/>
    <w:rsid w:val="00CA4362"/>
    <w:rsid w:val="00CA57E8"/>
    <w:rsid w:val="00CB3803"/>
    <w:rsid w:val="00CB64C9"/>
    <w:rsid w:val="00CD3F97"/>
    <w:rsid w:val="00D00589"/>
    <w:rsid w:val="00D20300"/>
    <w:rsid w:val="00D419CF"/>
    <w:rsid w:val="00D85391"/>
    <w:rsid w:val="00DB44E2"/>
    <w:rsid w:val="00E11B43"/>
    <w:rsid w:val="00E24D76"/>
    <w:rsid w:val="00E26C96"/>
    <w:rsid w:val="00E51276"/>
    <w:rsid w:val="00E53C2D"/>
    <w:rsid w:val="00E716A2"/>
    <w:rsid w:val="00E730FB"/>
    <w:rsid w:val="00EA1595"/>
    <w:rsid w:val="00EB2374"/>
    <w:rsid w:val="00ED1746"/>
    <w:rsid w:val="00ED2079"/>
    <w:rsid w:val="00ED544B"/>
    <w:rsid w:val="00EE17CD"/>
    <w:rsid w:val="00EF001C"/>
    <w:rsid w:val="00EF5217"/>
    <w:rsid w:val="00EF6D22"/>
    <w:rsid w:val="00F046DC"/>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Indentcorptext">
    <w:name w:val="Body Text Indent"/>
    <w:basedOn w:val="Normal"/>
    <w:link w:val="IndentcorptextCaracter"/>
    <w:rsid w:val="00E24D76"/>
    <w:pPr>
      <w:ind w:left="284"/>
    </w:pPr>
    <w:rPr>
      <w:szCs w:val="20"/>
      <w:lang w:eastAsia="ro-RO"/>
    </w:rPr>
  </w:style>
  <w:style w:type="character" w:customStyle="1" w:styleId="IndentcorptextCaracter">
    <w:name w:val="Indent corp text Caracter"/>
    <w:basedOn w:val="Fontdeparagrafimplicit"/>
    <w:link w:val="Indentcorptext"/>
    <w:rsid w:val="00E24D76"/>
    <w:rPr>
      <w:sz w:val="24"/>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2898</Words>
  <Characters>16809</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40</cp:revision>
  <cp:lastPrinted>2014-03-05T07:41:00Z</cp:lastPrinted>
  <dcterms:created xsi:type="dcterms:W3CDTF">2012-08-10T10:28:00Z</dcterms:created>
  <dcterms:modified xsi:type="dcterms:W3CDTF">2015-04-15T09:50:00Z</dcterms:modified>
</cp:coreProperties>
</file>